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76" w:type="dxa"/>
        <w:tblInd w:w="-233"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CE0DA"/>
        <w:tblLayout w:type="fixed"/>
        <w:tblCellMar>
          <w:left w:w="0" w:type="dxa"/>
          <w:right w:w="0" w:type="dxa"/>
        </w:tblCellMar>
        <w:tblLook w:val="01E0" w:firstRow="1" w:lastRow="1" w:firstColumn="1" w:lastColumn="1" w:noHBand="0" w:noVBand="0"/>
      </w:tblPr>
      <w:tblGrid>
        <w:gridCol w:w="247"/>
        <w:gridCol w:w="918"/>
        <w:gridCol w:w="6879"/>
        <w:gridCol w:w="232"/>
      </w:tblGrid>
      <w:tr w:rsidR="00920B58" w:rsidTr="00920B58">
        <w:trPr>
          <w:trHeight w:val="404"/>
        </w:trPr>
        <w:tc>
          <w:tcPr>
            <w:tcW w:w="247" w:type="dxa"/>
            <w:tcBorders>
              <w:top w:val="nil"/>
              <w:left w:val="single" w:sz="6" w:space="0" w:color="CCE0DA"/>
              <w:bottom w:val="nil"/>
            </w:tcBorders>
            <w:shd w:val="clear" w:color="auto" w:fill="CCE0DA"/>
          </w:tcPr>
          <w:p w:rsidR="00920B58" w:rsidRDefault="00920B58" w:rsidP="00FE4411">
            <w:pPr>
              <w:ind w:hanging="11"/>
            </w:pPr>
          </w:p>
        </w:tc>
        <w:tc>
          <w:tcPr>
            <w:tcW w:w="7797" w:type="dxa"/>
            <w:gridSpan w:val="2"/>
            <w:shd w:val="clear" w:color="auto" w:fill="CCE0DA"/>
          </w:tcPr>
          <w:p w:rsidR="00920B58" w:rsidRPr="00101F53" w:rsidRDefault="008E6AE8" w:rsidP="009C7F6C">
            <w:pPr>
              <w:pStyle w:val="Heading2"/>
              <w:outlineLvl w:val="1"/>
            </w:pPr>
            <w:r w:rsidRPr="00101F53">
              <w:t>P</w:t>
            </w:r>
            <w:r>
              <w:t>346 ‘</w:t>
            </w:r>
            <w:r w:rsidRPr="00064A36">
              <w:t>Changes to Specified Charges for Elective Half Hourly (HH) Meters</w:t>
            </w:r>
            <w:r>
              <w:t>’</w:t>
            </w:r>
          </w:p>
        </w:tc>
        <w:tc>
          <w:tcPr>
            <w:tcW w:w="232" w:type="dxa"/>
            <w:tcBorders>
              <w:top w:val="nil"/>
              <w:bottom w:val="nil"/>
              <w:right w:val="single" w:sz="6" w:space="0" w:color="CCE0DA"/>
            </w:tcBorders>
            <w:shd w:val="clear" w:color="auto" w:fill="CCE0DA"/>
          </w:tcPr>
          <w:p w:rsidR="00920B58" w:rsidRDefault="00920B58" w:rsidP="007E2EA9"/>
        </w:tc>
      </w:tr>
      <w:tr w:rsidR="00920B58" w:rsidTr="00920B58">
        <w:trPr>
          <w:trHeight w:val="190"/>
        </w:trPr>
        <w:tc>
          <w:tcPr>
            <w:tcW w:w="247" w:type="dxa"/>
            <w:tcBorders>
              <w:top w:val="nil"/>
              <w:left w:val="single" w:sz="6" w:space="0" w:color="CCE0DA"/>
              <w:bottom w:val="nil"/>
            </w:tcBorders>
            <w:shd w:val="clear" w:color="auto" w:fill="CCE0DA"/>
          </w:tcPr>
          <w:p w:rsidR="00920B58" w:rsidRDefault="00920B58" w:rsidP="003A10A8">
            <w:pPr>
              <w:ind w:hanging="11"/>
            </w:pPr>
          </w:p>
        </w:tc>
        <w:tc>
          <w:tcPr>
            <w:tcW w:w="7797" w:type="dxa"/>
            <w:gridSpan w:val="2"/>
            <w:shd w:val="clear" w:color="auto" w:fill="CCE0DA"/>
          </w:tcPr>
          <w:p w:rsidR="00920B58" w:rsidRDefault="008E6AE8" w:rsidP="009C7F6C">
            <w:pPr>
              <w:pStyle w:val="BodyText2"/>
            </w:pPr>
            <w:r w:rsidRPr="00064A36">
              <w:t>P346 proposes to amend the method by which the ‘Supplier’ half of the S</w:t>
            </w:r>
            <w:r>
              <w:t xml:space="preserve">upplier </w:t>
            </w:r>
            <w:r w:rsidRPr="00064A36">
              <w:t>V</w:t>
            </w:r>
            <w:r>
              <w:t xml:space="preserve">olume </w:t>
            </w:r>
            <w:r w:rsidRPr="00064A36">
              <w:t>A</w:t>
            </w:r>
            <w:r>
              <w:t>llocation (SVA)</w:t>
            </w:r>
            <w:r w:rsidRPr="00064A36">
              <w:t xml:space="preserve"> Costs are recovered so that all of these costs are recovered through a single ‘per </w:t>
            </w:r>
            <w:r>
              <w:t>Metering System Identifier (</w:t>
            </w:r>
            <w:r w:rsidRPr="00064A36">
              <w:t>MSID</w:t>
            </w:r>
            <w:r>
              <w:t>)</w:t>
            </w:r>
            <w:r w:rsidRPr="00064A36">
              <w:t xml:space="preserve">’ fixed tariff. This will remove a barrier to </w:t>
            </w:r>
            <w:r>
              <w:t>E</w:t>
            </w:r>
            <w:r w:rsidRPr="00064A36">
              <w:t xml:space="preserve">lective </w:t>
            </w:r>
            <w:r>
              <w:t>HH</w:t>
            </w:r>
            <w:r w:rsidRPr="00064A36">
              <w:t xml:space="preserve"> Settlement.</w:t>
            </w:r>
          </w:p>
        </w:tc>
        <w:tc>
          <w:tcPr>
            <w:tcW w:w="232" w:type="dxa"/>
            <w:tcBorders>
              <w:top w:val="nil"/>
              <w:bottom w:val="nil"/>
              <w:right w:val="single" w:sz="6" w:space="0" w:color="CCE0DA"/>
            </w:tcBorders>
            <w:shd w:val="clear" w:color="auto" w:fill="CCE0DA"/>
          </w:tcPr>
          <w:p w:rsidR="00920B58" w:rsidRDefault="00920B58" w:rsidP="003A10A8"/>
        </w:tc>
      </w:tr>
      <w:tr w:rsidR="00A562FE" w:rsidTr="008A0BE7">
        <w:trPr>
          <w:trHeight w:val="190"/>
        </w:trPr>
        <w:tc>
          <w:tcPr>
            <w:tcW w:w="247" w:type="dxa"/>
            <w:tcBorders>
              <w:top w:val="nil"/>
              <w:left w:val="single" w:sz="6" w:space="0" w:color="CCE0DA"/>
              <w:bottom w:val="nil"/>
            </w:tcBorders>
            <w:shd w:val="clear" w:color="auto" w:fill="CCE0DA"/>
          </w:tcPr>
          <w:p w:rsidR="00A562FE" w:rsidRDefault="00A562FE" w:rsidP="008A0BE7">
            <w:pPr>
              <w:ind w:hanging="11"/>
            </w:pPr>
          </w:p>
        </w:tc>
        <w:tc>
          <w:tcPr>
            <w:tcW w:w="7797" w:type="dxa"/>
            <w:gridSpan w:val="2"/>
            <w:shd w:val="clear" w:color="auto" w:fill="CCE0DA"/>
          </w:tcPr>
          <w:p w:rsidR="00A562FE" w:rsidRPr="001D51C0" w:rsidRDefault="00A562FE" w:rsidP="008A0BE7">
            <w:pPr>
              <w:pStyle w:val="BodyText3"/>
            </w:pPr>
            <w:r>
              <w:t>The Self-Governance Appeal Window for P</w:t>
            </w:r>
            <w:r w:rsidR="008E6AE8">
              <w:t>346</w:t>
            </w:r>
            <w:r w:rsidRPr="001D51C0">
              <w:t xml:space="preserve"> closes:</w:t>
            </w:r>
          </w:p>
          <w:p w:rsidR="00A562FE" w:rsidRPr="001D51C0" w:rsidRDefault="00A562FE" w:rsidP="008A0BE7">
            <w:pPr>
              <w:pStyle w:val="BodyText3"/>
              <w:rPr>
                <w:b/>
                <w:szCs w:val="24"/>
              </w:rPr>
            </w:pPr>
            <w:r w:rsidRPr="001D51C0">
              <w:rPr>
                <w:b/>
                <w:szCs w:val="24"/>
              </w:rPr>
              <w:t>5pm</w:t>
            </w:r>
            <w:r w:rsidRPr="001D51C0">
              <w:rPr>
                <w:szCs w:val="24"/>
              </w:rPr>
              <w:t xml:space="preserve"> on </w:t>
            </w:r>
            <w:r w:rsidR="008E6AE8">
              <w:rPr>
                <w:b/>
                <w:szCs w:val="24"/>
              </w:rPr>
              <w:t>Thursday 1 December 2016</w:t>
            </w:r>
          </w:p>
          <w:p w:rsidR="00A562FE" w:rsidRDefault="00A562FE" w:rsidP="008A0BE7">
            <w:pPr>
              <w:pStyle w:val="BodyText3"/>
            </w:pPr>
            <w:r>
              <w:t>If no appeals are notified by this time, the Panel’s decision is final</w:t>
            </w:r>
            <w:r w:rsidRPr="001D51C0">
              <w:t>.</w:t>
            </w:r>
          </w:p>
        </w:tc>
        <w:tc>
          <w:tcPr>
            <w:tcW w:w="232" w:type="dxa"/>
            <w:tcBorders>
              <w:top w:val="nil"/>
              <w:bottom w:val="nil"/>
              <w:right w:val="single" w:sz="6" w:space="0" w:color="CCE0DA"/>
            </w:tcBorders>
            <w:shd w:val="clear" w:color="auto" w:fill="CCE0DA"/>
          </w:tcPr>
          <w:p w:rsidR="00A562FE" w:rsidRDefault="00A562FE" w:rsidP="008A0BE7"/>
        </w:tc>
      </w:tr>
      <w:tr w:rsidR="00920B58" w:rsidTr="00920B58">
        <w:trPr>
          <w:trHeight w:val="899"/>
        </w:trPr>
        <w:tc>
          <w:tcPr>
            <w:tcW w:w="247" w:type="dxa"/>
            <w:tcBorders>
              <w:top w:val="nil"/>
              <w:left w:val="single" w:sz="6" w:space="0" w:color="CCE0DA"/>
              <w:bottom w:val="nil"/>
            </w:tcBorders>
            <w:shd w:val="clear" w:color="auto" w:fill="CCE0DA"/>
          </w:tcPr>
          <w:p w:rsidR="00920B58" w:rsidRDefault="00920B58" w:rsidP="003A10A8">
            <w:pPr>
              <w:ind w:hanging="11"/>
            </w:pPr>
          </w:p>
        </w:tc>
        <w:tc>
          <w:tcPr>
            <w:tcW w:w="918" w:type="dxa"/>
            <w:shd w:val="clear" w:color="auto" w:fill="CCE0DA"/>
            <w:vAlign w:val="center"/>
          </w:tcPr>
          <w:p w:rsidR="00920B58" w:rsidRDefault="00920B58" w:rsidP="00920B58">
            <w:pPr>
              <w:ind w:firstLine="9"/>
              <w:jc w:val="center"/>
            </w:pPr>
            <w:r>
              <w:rPr>
                <w:noProof/>
              </w:rPr>
              <w:drawing>
                <wp:inline distT="0" distB="0" distL="0" distR="0" wp14:anchorId="794CB8AD" wp14:editId="0F55ACB4">
                  <wp:extent cx="476250" cy="476250"/>
                  <wp:effectExtent l="0" t="0" r="0" b="0"/>
                  <wp:docPr id="67" name="Picture 1" descr="Tick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144"/>
                          <pic:cNvPicPr>
                            <a:picLocks noChangeAspect="1" noChangeArrowheads="1"/>
                          </pic:cNvPicPr>
                        </pic:nvPicPr>
                        <pic:blipFill>
                          <a:blip r:embed="rId9"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6879" w:type="dxa"/>
            <w:shd w:val="clear" w:color="auto" w:fill="CCE0DA"/>
            <w:vAlign w:val="center"/>
          </w:tcPr>
          <w:p w:rsidR="00920B58" w:rsidRDefault="00920B58" w:rsidP="008E6AE8">
            <w:pPr>
              <w:pStyle w:val="BodyText3"/>
            </w:pPr>
            <w:r>
              <w:t xml:space="preserve">The BSC Panel recommends </w:t>
            </w:r>
            <w:r w:rsidRPr="00C4112C">
              <w:rPr>
                <w:b/>
              </w:rPr>
              <w:t>approval</w:t>
            </w:r>
            <w:r>
              <w:t xml:space="preserve"> of P</w:t>
            </w:r>
            <w:r w:rsidR="008E6AE8">
              <w:t>346</w:t>
            </w:r>
          </w:p>
        </w:tc>
        <w:tc>
          <w:tcPr>
            <w:tcW w:w="232" w:type="dxa"/>
            <w:tcBorders>
              <w:top w:val="nil"/>
              <w:bottom w:val="nil"/>
              <w:right w:val="single" w:sz="6" w:space="0" w:color="CCE0DA"/>
            </w:tcBorders>
            <w:shd w:val="clear" w:color="auto" w:fill="CCE0DA"/>
          </w:tcPr>
          <w:p w:rsidR="00920B58" w:rsidRDefault="00920B58" w:rsidP="003A10A8"/>
        </w:tc>
      </w:tr>
      <w:tr w:rsidR="00AE5701" w:rsidTr="00AE5701">
        <w:trPr>
          <w:trHeight w:val="902"/>
        </w:trPr>
        <w:tc>
          <w:tcPr>
            <w:tcW w:w="247" w:type="dxa"/>
            <w:tcBorders>
              <w:top w:val="nil"/>
              <w:left w:val="single" w:sz="6" w:space="0" w:color="CCE0DA"/>
              <w:bottom w:val="nil"/>
            </w:tcBorders>
            <w:shd w:val="clear" w:color="auto" w:fill="CCE0DA"/>
          </w:tcPr>
          <w:p w:rsidR="00AE5701" w:rsidRDefault="00AE5701" w:rsidP="00FE4411">
            <w:pPr>
              <w:ind w:hanging="11"/>
            </w:pPr>
          </w:p>
        </w:tc>
        <w:tc>
          <w:tcPr>
            <w:tcW w:w="7797" w:type="dxa"/>
            <w:gridSpan w:val="2"/>
            <w:shd w:val="clear" w:color="auto" w:fill="CCE0DA"/>
            <w:vAlign w:val="center"/>
          </w:tcPr>
          <w:p w:rsidR="00AE5701" w:rsidRDefault="00AE5701" w:rsidP="00AE5701">
            <w:pPr>
              <w:pStyle w:val="BodyText3"/>
            </w:pPr>
            <w:r>
              <w:t>This Modification is expected to impact:</w:t>
            </w:r>
          </w:p>
          <w:p w:rsidR="00AE5701" w:rsidRDefault="008E6AE8" w:rsidP="00AE5701">
            <w:pPr>
              <w:pStyle w:val="BodyText3"/>
              <w:numPr>
                <w:ilvl w:val="0"/>
                <w:numId w:val="44"/>
              </w:numPr>
            </w:pPr>
            <w:r>
              <w:t>Suppliers</w:t>
            </w:r>
          </w:p>
          <w:p w:rsidR="00AE5701" w:rsidRDefault="008E6AE8" w:rsidP="008E6AE8">
            <w:pPr>
              <w:pStyle w:val="BodyText3"/>
              <w:numPr>
                <w:ilvl w:val="0"/>
                <w:numId w:val="44"/>
              </w:numPr>
            </w:pPr>
            <w:r>
              <w:t>ELEXON</w:t>
            </w:r>
          </w:p>
        </w:tc>
        <w:tc>
          <w:tcPr>
            <w:tcW w:w="232" w:type="dxa"/>
            <w:tcBorders>
              <w:top w:val="nil"/>
              <w:bottom w:val="nil"/>
              <w:right w:val="single" w:sz="6" w:space="0" w:color="CCE0DA"/>
            </w:tcBorders>
            <w:shd w:val="clear" w:color="auto" w:fill="CCE0DA"/>
          </w:tcPr>
          <w:p w:rsidR="00AE5701" w:rsidRDefault="00AE5701" w:rsidP="007E2EA9"/>
        </w:tc>
      </w:tr>
      <w:tr w:rsidR="00AE5701" w:rsidTr="00AE5701">
        <w:trPr>
          <w:trHeight w:val="489"/>
        </w:trPr>
        <w:tc>
          <w:tcPr>
            <w:tcW w:w="247" w:type="dxa"/>
            <w:tcBorders>
              <w:top w:val="nil"/>
              <w:left w:val="single" w:sz="6" w:space="0" w:color="CCE0DA"/>
              <w:bottom w:val="single" w:sz="6" w:space="0" w:color="CCE0DA"/>
            </w:tcBorders>
            <w:shd w:val="clear" w:color="auto" w:fill="CCE0DA"/>
          </w:tcPr>
          <w:p w:rsidR="00AE5701" w:rsidRDefault="00AE5701" w:rsidP="00FE4411">
            <w:pPr>
              <w:ind w:hanging="11"/>
            </w:pPr>
          </w:p>
        </w:tc>
        <w:tc>
          <w:tcPr>
            <w:tcW w:w="7797" w:type="dxa"/>
            <w:gridSpan w:val="2"/>
            <w:tcBorders>
              <w:bottom w:val="single" w:sz="6" w:space="0" w:color="CCE0DA"/>
            </w:tcBorders>
            <w:shd w:val="clear" w:color="auto" w:fill="CCE0DA"/>
            <w:vAlign w:val="center"/>
          </w:tcPr>
          <w:p w:rsidR="00AE5701" w:rsidRDefault="00AE5701"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rPr>
                <w:color w:val="FF0000"/>
                <w:sz w:val="16"/>
              </w:rPr>
            </w:pPr>
          </w:p>
          <w:p w:rsidR="008E6AE8" w:rsidRDefault="008E6AE8" w:rsidP="00AE5701">
            <w:pPr>
              <w:pStyle w:val="BodyText3"/>
            </w:pPr>
          </w:p>
        </w:tc>
        <w:tc>
          <w:tcPr>
            <w:tcW w:w="232" w:type="dxa"/>
            <w:tcBorders>
              <w:top w:val="nil"/>
              <w:bottom w:val="single" w:sz="6" w:space="0" w:color="CCE0DA"/>
              <w:right w:val="single" w:sz="6" w:space="0" w:color="CCE0DA"/>
            </w:tcBorders>
            <w:shd w:val="clear" w:color="auto" w:fill="CCE0DA"/>
          </w:tcPr>
          <w:p w:rsidR="00AE5701" w:rsidRDefault="00AE5701" w:rsidP="007E2EA9"/>
        </w:tc>
      </w:tr>
    </w:tbl>
    <w:p w:rsidR="00D447C5" w:rsidRDefault="00D447C5" w:rsidP="00A13842">
      <w:pPr>
        <w:spacing w:line="240" w:lineRule="auto"/>
        <w:rPr>
          <w:sz w:val="2"/>
          <w:szCs w:val="2"/>
        </w:rPr>
        <w:sectPr w:rsidR="00D447C5" w:rsidSect="0026038C">
          <w:footerReference w:type="default" r:id="rId10"/>
          <w:headerReference w:type="first" r:id="rId11"/>
          <w:footerReference w:type="first" r:id="rId12"/>
          <w:pgSz w:w="11906" w:h="16838" w:code="9"/>
          <w:pgMar w:top="567" w:right="2722" w:bottom="567" w:left="1134" w:header="709" w:footer="284" w:gutter="0"/>
          <w:cols w:space="708"/>
          <w:titlePg/>
          <w:docGrid w:linePitch="360"/>
        </w:sectPr>
      </w:pPr>
    </w:p>
    <w:p w:rsidR="00FF3867" w:rsidRDefault="000559F7" w:rsidP="008A0BE7">
      <w:pPr>
        <w:pStyle w:val="About"/>
        <w:spacing w:before="0"/>
        <w:rPr>
          <w:noProof/>
        </w:rPr>
      </w:pPr>
      <w:r>
        <w:lastRenderedPageBreak/>
        <w:t xml:space="preserve">Contents </w:t>
      </w:r>
      <w:r w:rsidR="008A0BE7">
        <w:rPr>
          <w:noProof/>
        </w:rPr>
        <mc:AlternateContent>
          <mc:Choice Requires="wps">
            <w:drawing>
              <wp:anchor distT="0" distB="0" distL="114300" distR="114300" simplePos="0" relativeHeight="251677696" behindDoc="0" locked="1" layoutInCell="1" allowOverlap="1" wp14:anchorId="65B19DEA" wp14:editId="6A04132A">
                <wp:simplePos x="0" y="0"/>
                <wp:positionH relativeFrom="page">
                  <wp:posOffset>6019800</wp:posOffset>
                </wp:positionH>
                <wp:positionV relativeFrom="page">
                  <wp:posOffset>356235</wp:posOffset>
                </wp:positionV>
                <wp:extent cx="1332230" cy="3198495"/>
                <wp:effectExtent l="0" t="0" r="1270" b="1905"/>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198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9D0479" w:rsidRDefault="00D56FFF" w:rsidP="008A0BE7">
                                  <w:pPr>
                                    <w:pStyle w:val="Footer"/>
                                    <w:rPr>
                                      <w:b/>
                                    </w:rPr>
                                  </w:pPr>
                                  <w:r>
                                    <w:rPr>
                                      <w:b/>
                                      <w:noProof/>
                                    </w:rPr>
                                    <w:drawing>
                                      <wp:inline distT="0" distB="0" distL="0" distR="0" wp14:anchorId="25434073" wp14:editId="200C37F2">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56FFF">
                              <w:trPr>
                                <w:trHeight w:val="340"/>
                              </w:trPr>
                              <w:tc>
                                <w:tcPr>
                                  <w:tcW w:w="2113" w:type="dxa"/>
                                  <w:vAlign w:val="center"/>
                                </w:tcPr>
                                <w:p w:rsidR="00D56FFF" w:rsidRPr="00D447C5" w:rsidRDefault="00D56FFF" w:rsidP="006C2760">
                                  <w:pPr>
                                    <w:pStyle w:val="Footer"/>
                                    <w:rPr>
                                      <w:b/>
                                    </w:rPr>
                                  </w:pPr>
                                  <w:r>
                                    <w:rPr>
                                      <w:b/>
                                    </w:rPr>
                                    <w:t>Contact</w:t>
                                  </w:r>
                                </w:p>
                              </w:tc>
                            </w:tr>
                            <w:tr w:rsidR="00D56FFF">
                              <w:trPr>
                                <w:trHeight w:val="748"/>
                              </w:trPr>
                              <w:tc>
                                <w:tcPr>
                                  <w:tcW w:w="2113" w:type="dxa"/>
                                </w:tcPr>
                                <w:p w:rsidR="00D56FFF" w:rsidRDefault="00D56FFF" w:rsidP="008A0BE7">
                                  <w:pPr>
                                    <w:pStyle w:val="Footer"/>
                                    <w:rPr>
                                      <w:b/>
                                    </w:rPr>
                                  </w:pPr>
                                  <w:r>
                                    <w:rPr>
                                      <w:b/>
                                    </w:rPr>
                                    <w:t>Royston Black</w:t>
                                  </w:r>
                                </w:p>
                                <w:p w:rsidR="00D56FFF" w:rsidRDefault="00D56FFF" w:rsidP="008A0BE7">
                                  <w:pPr>
                                    <w:pStyle w:val="Footer"/>
                                    <w:rPr>
                                      <w:b/>
                                    </w:rPr>
                                  </w:pPr>
                                </w:p>
                                <w:p w:rsidR="00D56FFF" w:rsidRDefault="00D56FFF" w:rsidP="008A0BE7">
                                  <w:pPr>
                                    <w:pStyle w:val="Footer"/>
                                  </w:pPr>
                                  <w:r>
                                    <w:t>020 7380 4203</w:t>
                                  </w:r>
                                </w:p>
                                <w:p w:rsidR="00D56FFF" w:rsidRPr="00436189" w:rsidRDefault="00D56FFF" w:rsidP="008A0BE7">
                                  <w:pPr>
                                    <w:pStyle w:val="Footer"/>
                                  </w:pPr>
                                </w:p>
                                <w:p w:rsidR="00D56FFF" w:rsidRDefault="00D56FFF" w:rsidP="008A0BE7">
                                  <w:pPr>
                                    <w:pStyle w:val="Footer"/>
                                  </w:pPr>
                                  <w:r>
                                    <w:t>royston.black</w:t>
                                  </w:r>
                                  <w:r w:rsidRPr="00436189">
                                    <w:t xml:space="preserve">@elexon.co.uk </w:t>
                                  </w:r>
                                </w:p>
                                <w:p w:rsidR="00D56FFF" w:rsidRPr="00436189" w:rsidRDefault="00D56FFF" w:rsidP="008A0BE7">
                                  <w:pPr>
                                    <w:pStyle w:val="Footer"/>
                                  </w:pPr>
                                </w:p>
                              </w:tc>
                            </w:tr>
                            <w:tr w:rsidR="00D56FFF" w:rsidTr="008A0BE7">
                              <w:trPr>
                                <w:trHeight w:val="2098"/>
                              </w:trPr>
                              <w:tc>
                                <w:tcPr>
                                  <w:tcW w:w="2113" w:type="dxa"/>
                                  <w:vAlign w:val="center"/>
                                </w:tcPr>
                                <w:p w:rsidR="00D56FFF" w:rsidRPr="006C2760" w:rsidRDefault="00D56FFF" w:rsidP="006C2760">
                                  <w:pPr>
                                    <w:pStyle w:val="Footer"/>
                                  </w:pPr>
                                  <w:r>
                                    <w:rPr>
                                      <w:b/>
                                      <w:noProof/>
                                    </w:rPr>
                                    <w:drawing>
                                      <wp:inline distT="0" distB="0" distL="0" distR="0" wp14:anchorId="17F82DAD" wp14:editId="26FCFFEC">
                                        <wp:extent cx="1343025" cy="1343025"/>
                                        <wp:effectExtent l="0" t="0" r="9525" b="9525"/>
                                        <wp:docPr id="7" name="Picture 7" descr="H:\1a79c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a79c4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inline>
                                    </w:drawing>
                                  </w:r>
                                </w:p>
                              </w:tc>
                            </w:tr>
                            <w:tr w:rsidR="00D56FFF" w:rsidTr="008A0BE7">
                              <w:trPr>
                                <w:trHeight w:val="149"/>
                              </w:trPr>
                              <w:tc>
                                <w:tcPr>
                                  <w:tcW w:w="2113" w:type="dxa"/>
                                  <w:tcBorders>
                                    <w:bottom w:val="nil"/>
                                  </w:tcBorders>
                                  <w:vAlign w:val="center"/>
                                </w:tcPr>
                                <w:p w:rsidR="00D56FFF" w:rsidRPr="006C2760" w:rsidRDefault="00D56FFF" w:rsidP="006C2760">
                                  <w:pPr>
                                    <w:pStyle w:val="Footer"/>
                                  </w:pPr>
                                </w:p>
                              </w:tc>
                            </w:tr>
                          </w:tbl>
                          <w:p w:rsidR="00D56FFF" w:rsidRPr="006C2760" w:rsidRDefault="00D56FFF" w:rsidP="008A0BE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474pt;margin-top:28.05pt;width:104.9pt;height:251.8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TL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WYMRJCz16pINGd2JAwdLUp+9UAm4PHTjqAfahz5ar6u5F8VUhLtY14Tt6K6Xoa0pKyM83N92z&#10;qyOOMiDb/oMoIQ7Za2GBhkq2pnhQDgTo0KenU29MLoUJOZsFwQyOCjib+XEUx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9D0479" w:rsidRDefault="00D56FFF" w:rsidP="008A0BE7">
                            <w:pPr>
                              <w:pStyle w:val="Footer"/>
                              <w:rPr>
                                <w:b/>
                              </w:rPr>
                            </w:pPr>
                            <w:r>
                              <w:rPr>
                                <w:b/>
                                <w:noProof/>
                              </w:rPr>
                              <w:drawing>
                                <wp:inline distT="0" distB="0" distL="0" distR="0" wp14:anchorId="25434073" wp14:editId="200C37F2">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56FFF">
                        <w:trPr>
                          <w:trHeight w:val="340"/>
                        </w:trPr>
                        <w:tc>
                          <w:tcPr>
                            <w:tcW w:w="2113" w:type="dxa"/>
                            <w:vAlign w:val="center"/>
                          </w:tcPr>
                          <w:p w:rsidR="00D56FFF" w:rsidRPr="00D447C5" w:rsidRDefault="00D56FFF" w:rsidP="006C2760">
                            <w:pPr>
                              <w:pStyle w:val="Footer"/>
                              <w:rPr>
                                <w:b/>
                              </w:rPr>
                            </w:pPr>
                            <w:r>
                              <w:rPr>
                                <w:b/>
                              </w:rPr>
                              <w:t>Contact</w:t>
                            </w:r>
                          </w:p>
                        </w:tc>
                      </w:tr>
                      <w:tr w:rsidR="00D56FFF">
                        <w:trPr>
                          <w:trHeight w:val="748"/>
                        </w:trPr>
                        <w:tc>
                          <w:tcPr>
                            <w:tcW w:w="2113" w:type="dxa"/>
                          </w:tcPr>
                          <w:p w:rsidR="00D56FFF" w:rsidRDefault="00D56FFF" w:rsidP="008A0BE7">
                            <w:pPr>
                              <w:pStyle w:val="Footer"/>
                              <w:rPr>
                                <w:b/>
                              </w:rPr>
                            </w:pPr>
                            <w:r>
                              <w:rPr>
                                <w:b/>
                              </w:rPr>
                              <w:t>Royston Black</w:t>
                            </w:r>
                          </w:p>
                          <w:p w:rsidR="00D56FFF" w:rsidRDefault="00D56FFF" w:rsidP="008A0BE7">
                            <w:pPr>
                              <w:pStyle w:val="Footer"/>
                              <w:rPr>
                                <w:b/>
                              </w:rPr>
                            </w:pPr>
                          </w:p>
                          <w:p w:rsidR="00D56FFF" w:rsidRDefault="00D56FFF" w:rsidP="008A0BE7">
                            <w:pPr>
                              <w:pStyle w:val="Footer"/>
                            </w:pPr>
                            <w:r>
                              <w:t>020 7380 4203</w:t>
                            </w:r>
                          </w:p>
                          <w:p w:rsidR="00D56FFF" w:rsidRPr="00436189" w:rsidRDefault="00D56FFF" w:rsidP="008A0BE7">
                            <w:pPr>
                              <w:pStyle w:val="Footer"/>
                            </w:pPr>
                          </w:p>
                          <w:p w:rsidR="00D56FFF" w:rsidRDefault="00D56FFF" w:rsidP="008A0BE7">
                            <w:pPr>
                              <w:pStyle w:val="Footer"/>
                            </w:pPr>
                            <w:r>
                              <w:t>royston.black</w:t>
                            </w:r>
                            <w:r w:rsidRPr="00436189">
                              <w:t xml:space="preserve">@elexon.co.uk </w:t>
                            </w:r>
                          </w:p>
                          <w:p w:rsidR="00D56FFF" w:rsidRPr="00436189" w:rsidRDefault="00D56FFF" w:rsidP="008A0BE7">
                            <w:pPr>
                              <w:pStyle w:val="Footer"/>
                            </w:pPr>
                          </w:p>
                        </w:tc>
                      </w:tr>
                      <w:tr w:rsidR="00D56FFF" w:rsidTr="008A0BE7">
                        <w:trPr>
                          <w:trHeight w:val="2098"/>
                        </w:trPr>
                        <w:tc>
                          <w:tcPr>
                            <w:tcW w:w="2113" w:type="dxa"/>
                            <w:vAlign w:val="center"/>
                          </w:tcPr>
                          <w:p w:rsidR="00D56FFF" w:rsidRPr="006C2760" w:rsidRDefault="00D56FFF" w:rsidP="006C2760">
                            <w:pPr>
                              <w:pStyle w:val="Footer"/>
                            </w:pPr>
                            <w:r>
                              <w:rPr>
                                <w:b/>
                                <w:noProof/>
                              </w:rPr>
                              <w:drawing>
                                <wp:inline distT="0" distB="0" distL="0" distR="0" wp14:anchorId="17F82DAD" wp14:editId="26FCFFEC">
                                  <wp:extent cx="1343025" cy="1343025"/>
                                  <wp:effectExtent l="0" t="0" r="9525" b="9525"/>
                                  <wp:docPr id="7" name="Picture 7" descr="H:\1a79c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a79c4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inline>
                              </w:drawing>
                            </w:r>
                          </w:p>
                        </w:tc>
                      </w:tr>
                      <w:tr w:rsidR="00D56FFF" w:rsidTr="008A0BE7">
                        <w:trPr>
                          <w:trHeight w:val="149"/>
                        </w:trPr>
                        <w:tc>
                          <w:tcPr>
                            <w:tcW w:w="2113" w:type="dxa"/>
                            <w:tcBorders>
                              <w:bottom w:val="nil"/>
                            </w:tcBorders>
                            <w:vAlign w:val="center"/>
                          </w:tcPr>
                          <w:p w:rsidR="00D56FFF" w:rsidRPr="006C2760" w:rsidRDefault="00D56FFF" w:rsidP="006C2760">
                            <w:pPr>
                              <w:pStyle w:val="Footer"/>
                            </w:pPr>
                          </w:p>
                        </w:tc>
                      </w:tr>
                    </w:tbl>
                    <w:p w:rsidR="00D56FFF" w:rsidRPr="006C2760" w:rsidRDefault="00D56FFF" w:rsidP="008A0BE7">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rsidR="00FF3867" w:rsidRDefault="00FF3867">
      <w:pPr>
        <w:pStyle w:val="TOC1"/>
        <w:rPr>
          <w:rFonts w:asciiTheme="minorHAnsi" w:eastAsiaTheme="minorEastAsia" w:hAnsiTheme="minorHAnsi" w:cstheme="minorBidi"/>
          <w:bCs w:val="0"/>
          <w:color w:val="auto"/>
          <w:sz w:val="22"/>
          <w:szCs w:val="22"/>
        </w:rPr>
      </w:pPr>
      <w:hyperlink w:anchor="_Toc467066296" w:history="1">
        <w:r w:rsidRPr="00B51EBA">
          <w:rPr>
            <w:rStyle w:val="Hyperlink"/>
            <w:b/>
          </w:rPr>
          <w:t>1</w:t>
        </w:r>
        <w:r>
          <w:rPr>
            <w:rFonts w:asciiTheme="minorHAnsi" w:eastAsiaTheme="minorEastAsia" w:hAnsiTheme="minorHAnsi" w:cstheme="minorBidi"/>
            <w:bCs w:val="0"/>
            <w:color w:val="auto"/>
            <w:sz w:val="22"/>
            <w:szCs w:val="22"/>
          </w:rPr>
          <w:tab/>
        </w:r>
        <w:r w:rsidRPr="00B51EBA">
          <w:rPr>
            <w:rStyle w:val="Hyperlink"/>
          </w:rPr>
          <w:t>Summary</w:t>
        </w:r>
        <w:r>
          <w:rPr>
            <w:webHidden/>
          </w:rPr>
          <w:tab/>
        </w:r>
        <w:r>
          <w:rPr>
            <w:webHidden/>
          </w:rPr>
          <w:fldChar w:fldCharType="begin"/>
        </w:r>
        <w:r>
          <w:rPr>
            <w:webHidden/>
          </w:rPr>
          <w:instrText xml:space="preserve"> PAGEREF _Toc467066296 \h </w:instrText>
        </w:r>
        <w:r>
          <w:rPr>
            <w:webHidden/>
          </w:rPr>
        </w:r>
        <w:r>
          <w:rPr>
            <w:webHidden/>
          </w:rPr>
          <w:fldChar w:fldCharType="separate"/>
        </w:r>
        <w:r>
          <w:rPr>
            <w:webHidden/>
          </w:rPr>
          <w:t>3</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297" w:history="1">
        <w:r w:rsidRPr="00B51EBA">
          <w:rPr>
            <w:rStyle w:val="Hyperlink"/>
            <w:b/>
          </w:rPr>
          <w:t>2</w:t>
        </w:r>
        <w:r>
          <w:rPr>
            <w:rFonts w:asciiTheme="minorHAnsi" w:eastAsiaTheme="minorEastAsia" w:hAnsiTheme="minorHAnsi" w:cstheme="minorBidi"/>
            <w:bCs w:val="0"/>
            <w:color w:val="auto"/>
            <w:sz w:val="22"/>
            <w:szCs w:val="22"/>
          </w:rPr>
          <w:tab/>
        </w:r>
        <w:r w:rsidRPr="00B51EBA">
          <w:rPr>
            <w:rStyle w:val="Hyperlink"/>
          </w:rPr>
          <w:t>Why Change?</w:t>
        </w:r>
        <w:r>
          <w:rPr>
            <w:webHidden/>
          </w:rPr>
          <w:tab/>
        </w:r>
        <w:r>
          <w:rPr>
            <w:webHidden/>
          </w:rPr>
          <w:fldChar w:fldCharType="begin"/>
        </w:r>
        <w:r>
          <w:rPr>
            <w:webHidden/>
          </w:rPr>
          <w:instrText xml:space="preserve"> PAGEREF _Toc467066297 \h </w:instrText>
        </w:r>
        <w:r>
          <w:rPr>
            <w:webHidden/>
          </w:rPr>
        </w:r>
        <w:r>
          <w:rPr>
            <w:webHidden/>
          </w:rPr>
          <w:fldChar w:fldCharType="separate"/>
        </w:r>
        <w:r>
          <w:rPr>
            <w:webHidden/>
          </w:rPr>
          <w:t>4</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298" w:history="1">
        <w:r w:rsidRPr="00B51EBA">
          <w:rPr>
            <w:rStyle w:val="Hyperlink"/>
            <w:b/>
          </w:rPr>
          <w:t>3</w:t>
        </w:r>
        <w:r>
          <w:rPr>
            <w:rFonts w:asciiTheme="minorHAnsi" w:eastAsiaTheme="minorEastAsia" w:hAnsiTheme="minorHAnsi" w:cstheme="minorBidi"/>
            <w:bCs w:val="0"/>
            <w:color w:val="auto"/>
            <w:sz w:val="22"/>
            <w:szCs w:val="22"/>
          </w:rPr>
          <w:tab/>
        </w:r>
        <w:r w:rsidRPr="00B51EBA">
          <w:rPr>
            <w:rStyle w:val="Hyperlink"/>
          </w:rPr>
          <w:t>Solution</w:t>
        </w:r>
        <w:r>
          <w:rPr>
            <w:webHidden/>
          </w:rPr>
          <w:tab/>
        </w:r>
        <w:r>
          <w:rPr>
            <w:webHidden/>
          </w:rPr>
          <w:fldChar w:fldCharType="begin"/>
        </w:r>
        <w:r>
          <w:rPr>
            <w:webHidden/>
          </w:rPr>
          <w:instrText xml:space="preserve"> PAGEREF _Toc467066298 \h </w:instrText>
        </w:r>
        <w:r>
          <w:rPr>
            <w:webHidden/>
          </w:rPr>
        </w:r>
        <w:r>
          <w:rPr>
            <w:webHidden/>
          </w:rPr>
          <w:fldChar w:fldCharType="separate"/>
        </w:r>
        <w:r>
          <w:rPr>
            <w:webHidden/>
          </w:rPr>
          <w:t>6</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299" w:history="1">
        <w:r w:rsidRPr="00B51EBA">
          <w:rPr>
            <w:rStyle w:val="Hyperlink"/>
            <w:b/>
          </w:rPr>
          <w:t>4</w:t>
        </w:r>
        <w:r>
          <w:rPr>
            <w:rFonts w:asciiTheme="minorHAnsi" w:eastAsiaTheme="minorEastAsia" w:hAnsiTheme="minorHAnsi" w:cstheme="minorBidi"/>
            <w:bCs w:val="0"/>
            <w:color w:val="auto"/>
            <w:sz w:val="22"/>
            <w:szCs w:val="22"/>
          </w:rPr>
          <w:tab/>
        </w:r>
        <w:r w:rsidRPr="00B51EBA">
          <w:rPr>
            <w:rStyle w:val="Hyperlink"/>
          </w:rPr>
          <w:t>Impacts &amp; Costs</w:t>
        </w:r>
        <w:r>
          <w:rPr>
            <w:webHidden/>
          </w:rPr>
          <w:tab/>
        </w:r>
        <w:r>
          <w:rPr>
            <w:webHidden/>
          </w:rPr>
          <w:fldChar w:fldCharType="begin"/>
        </w:r>
        <w:r>
          <w:rPr>
            <w:webHidden/>
          </w:rPr>
          <w:instrText xml:space="preserve"> PAGEREF _Toc467066299 \h </w:instrText>
        </w:r>
        <w:r>
          <w:rPr>
            <w:webHidden/>
          </w:rPr>
        </w:r>
        <w:r>
          <w:rPr>
            <w:webHidden/>
          </w:rPr>
          <w:fldChar w:fldCharType="separate"/>
        </w:r>
        <w:r>
          <w:rPr>
            <w:webHidden/>
          </w:rPr>
          <w:t>8</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0" w:history="1">
        <w:r w:rsidRPr="00B51EBA">
          <w:rPr>
            <w:rStyle w:val="Hyperlink"/>
            <w:b/>
          </w:rPr>
          <w:t>5</w:t>
        </w:r>
        <w:r>
          <w:rPr>
            <w:rFonts w:asciiTheme="minorHAnsi" w:eastAsiaTheme="minorEastAsia" w:hAnsiTheme="minorHAnsi" w:cstheme="minorBidi"/>
            <w:bCs w:val="0"/>
            <w:color w:val="auto"/>
            <w:sz w:val="22"/>
            <w:szCs w:val="22"/>
          </w:rPr>
          <w:tab/>
        </w:r>
        <w:r w:rsidRPr="00B51EBA">
          <w:rPr>
            <w:rStyle w:val="Hyperlink"/>
          </w:rPr>
          <w:t>Implementation</w:t>
        </w:r>
        <w:r>
          <w:rPr>
            <w:webHidden/>
          </w:rPr>
          <w:tab/>
        </w:r>
        <w:r>
          <w:rPr>
            <w:webHidden/>
          </w:rPr>
          <w:fldChar w:fldCharType="begin"/>
        </w:r>
        <w:r>
          <w:rPr>
            <w:webHidden/>
          </w:rPr>
          <w:instrText xml:space="preserve"> PAGEREF _Toc467066300 \h </w:instrText>
        </w:r>
        <w:r>
          <w:rPr>
            <w:webHidden/>
          </w:rPr>
        </w:r>
        <w:r>
          <w:rPr>
            <w:webHidden/>
          </w:rPr>
          <w:fldChar w:fldCharType="separate"/>
        </w:r>
        <w:r>
          <w:rPr>
            <w:webHidden/>
          </w:rPr>
          <w:t>10</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1" w:history="1">
        <w:r w:rsidRPr="00B51EBA">
          <w:rPr>
            <w:rStyle w:val="Hyperlink"/>
            <w:b/>
          </w:rPr>
          <w:t>6</w:t>
        </w:r>
        <w:r>
          <w:rPr>
            <w:rFonts w:asciiTheme="minorHAnsi" w:eastAsiaTheme="minorEastAsia" w:hAnsiTheme="minorHAnsi" w:cstheme="minorBidi"/>
            <w:bCs w:val="0"/>
            <w:color w:val="auto"/>
            <w:sz w:val="22"/>
            <w:szCs w:val="22"/>
          </w:rPr>
          <w:tab/>
        </w:r>
        <w:r w:rsidRPr="00B51EBA">
          <w:rPr>
            <w:rStyle w:val="Hyperlink"/>
          </w:rPr>
          <w:t>Workgroup’s Discussions</w:t>
        </w:r>
        <w:r>
          <w:rPr>
            <w:webHidden/>
          </w:rPr>
          <w:tab/>
        </w:r>
        <w:r>
          <w:rPr>
            <w:webHidden/>
          </w:rPr>
          <w:fldChar w:fldCharType="begin"/>
        </w:r>
        <w:r>
          <w:rPr>
            <w:webHidden/>
          </w:rPr>
          <w:instrText xml:space="preserve"> PAGEREF _Toc467066301 \h </w:instrText>
        </w:r>
        <w:r>
          <w:rPr>
            <w:webHidden/>
          </w:rPr>
        </w:r>
        <w:r>
          <w:rPr>
            <w:webHidden/>
          </w:rPr>
          <w:fldChar w:fldCharType="separate"/>
        </w:r>
        <w:r>
          <w:rPr>
            <w:webHidden/>
          </w:rPr>
          <w:t>11</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2" w:history="1">
        <w:r w:rsidRPr="00B51EBA">
          <w:rPr>
            <w:rStyle w:val="Hyperlink"/>
            <w:b/>
          </w:rPr>
          <w:t>7</w:t>
        </w:r>
        <w:r>
          <w:rPr>
            <w:rFonts w:asciiTheme="minorHAnsi" w:eastAsiaTheme="minorEastAsia" w:hAnsiTheme="minorHAnsi" w:cstheme="minorBidi"/>
            <w:bCs w:val="0"/>
            <w:color w:val="auto"/>
            <w:sz w:val="22"/>
            <w:szCs w:val="22"/>
          </w:rPr>
          <w:tab/>
        </w:r>
        <w:r w:rsidRPr="00B51EBA">
          <w:rPr>
            <w:rStyle w:val="Hyperlink"/>
          </w:rPr>
          <w:t>Workgroup’s Conclusions</w:t>
        </w:r>
        <w:r>
          <w:rPr>
            <w:webHidden/>
          </w:rPr>
          <w:tab/>
        </w:r>
        <w:r>
          <w:rPr>
            <w:webHidden/>
          </w:rPr>
          <w:fldChar w:fldCharType="begin"/>
        </w:r>
        <w:r>
          <w:rPr>
            <w:webHidden/>
          </w:rPr>
          <w:instrText xml:space="preserve"> PAGEREF _Toc467066302 \h </w:instrText>
        </w:r>
        <w:r>
          <w:rPr>
            <w:webHidden/>
          </w:rPr>
        </w:r>
        <w:r>
          <w:rPr>
            <w:webHidden/>
          </w:rPr>
          <w:fldChar w:fldCharType="separate"/>
        </w:r>
        <w:r>
          <w:rPr>
            <w:webHidden/>
          </w:rPr>
          <w:t>15</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3" w:history="1">
        <w:r w:rsidRPr="00B51EBA">
          <w:rPr>
            <w:rStyle w:val="Hyperlink"/>
            <w:b/>
          </w:rPr>
          <w:t>8</w:t>
        </w:r>
        <w:r>
          <w:rPr>
            <w:rFonts w:asciiTheme="minorHAnsi" w:eastAsiaTheme="minorEastAsia" w:hAnsiTheme="minorHAnsi" w:cstheme="minorBidi"/>
            <w:bCs w:val="0"/>
            <w:color w:val="auto"/>
            <w:sz w:val="22"/>
            <w:szCs w:val="22"/>
          </w:rPr>
          <w:tab/>
        </w:r>
        <w:r w:rsidRPr="00B51EBA">
          <w:rPr>
            <w:rStyle w:val="Hyperlink"/>
          </w:rPr>
          <w:t>Panel’s Initial Discussions</w:t>
        </w:r>
        <w:r>
          <w:rPr>
            <w:webHidden/>
          </w:rPr>
          <w:tab/>
        </w:r>
        <w:r>
          <w:rPr>
            <w:webHidden/>
          </w:rPr>
          <w:fldChar w:fldCharType="begin"/>
        </w:r>
        <w:r>
          <w:rPr>
            <w:webHidden/>
          </w:rPr>
          <w:instrText xml:space="preserve"> PAGEREF _Toc467066303 \h </w:instrText>
        </w:r>
        <w:r>
          <w:rPr>
            <w:webHidden/>
          </w:rPr>
        </w:r>
        <w:r>
          <w:rPr>
            <w:webHidden/>
          </w:rPr>
          <w:fldChar w:fldCharType="separate"/>
        </w:r>
        <w:r>
          <w:rPr>
            <w:webHidden/>
          </w:rPr>
          <w:t>17</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4" w:history="1">
        <w:r w:rsidRPr="00B51EBA">
          <w:rPr>
            <w:rStyle w:val="Hyperlink"/>
            <w:b/>
          </w:rPr>
          <w:t>9</w:t>
        </w:r>
        <w:r>
          <w:rPr>
            <w:rFonts w:asciiTheme="minorHAnsi" w:eastAsiaTheme="minorEastAsia" w:hAnsiTheme="minorHAnsi" w:cstheme="minorBidi"/>
            <w:bCs w:val="0"/>
            <w:color w:val="auto"/>
            <w:sz w:val="22"/>
            <w:szCs w:val="22"/>
          </w:rPr>
          <w:tab/>
        </w:r>
        <w:r w:rsidRPr="00B51EBA">
          <w:rPr>
            <w:rStyle w:val="Hyperlink"/>
          </w:rPr>
          <w:t>Report Phase Consultation Responses</w:t>
        </w:r>
        <w:r>
          <w:rPr>
            <w:webHidden/>
          </w:rPr>
          <w:tab/>
        </w:r>
        <w:r>
          <w:rPr>
            <w:webHidden/>
          </w:rPr>
          <w:fldChar w:fldCharType="begin"/>
        </w:r>
        <w:r>
          <w:rPr>
            <w:webHidden/>
          </w:rPr>
          <w:instrText xml:space="preserve"> PAGEREF _Toc467066304 \h </w:instrText>
        </w:r>
        <w:r>
          <w:rPr>
            <w:webHidden/>
          </w:rPr>
        </w:r>
        <w:r>
          <w:rPr>
            <w:webHidden/>
          </w:rPr>
          <w:fldChar w:fldCharType="separate"/>
        </w:r>
        <w:r>
          <w:rPr>
            <w:webHidden/>
          </w:rPr>
          <w:t>18</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5" w:history="1">
        <w:r w:rsidRPr="00B51EBA">
          <w:rPr>
            <w:rStyle w:val="Hyperlink"/>
            <w:b/>
          </w:rPr>
          <w:t>10</w:t>
        </w:r>
        <w:r>
          <w:rPr>
            <w:rFonts w:asciiTheme="minorHAnsi" w:eastAsiaTheme="minorEastAsia" w:hAnsiTheme="minorHAnsi" w:cstheme="minorBidi"/>
            <w:bCs w:val="0"/>
            <w:color w:val="auto"/>
            <w:sz w:val="22"/>
            <w:szCs w:val="22"/>
          </w:rPr>
          <w:tab/>
        </w:r>
        <w:r w:rsidRPr="00B51EBA">
          <w:rPr>
            <w:rStyle w:val="Hyperlink"/>
          </w:rPr>
          <w:t>Panel’s Final Discussions</w:t>
        </w:r>
        <w:r>
          <w:rPr>
            <w:webHidden/>
          </w:rPr>
          <w:tab/>
        </w:r>
        <w:r>
          <w:rPr>
            <w:webHidden/>
          </w:rPr>
          <w:fldChar w:fldCharType="begin"/>
        </w:r>
        <w:r>
          <w:rPr>
            <w:webHidden/>
          </w:rPr>
          <w:instrText xml:space="preserve"> PAGEREF _Toc467066305 \h </w:instrText>
        </w:r>
        <w:r>
          <w:rPr>
            <w:webHidden/>
          </w:rPr>
        </w:r>
        <w:r>
          <w:rPr>
            <w:webHidden/>
          </w:rPr>
          <w:fldChar w:fldCharType="separate"/>
        </w:r>
        <w:r>
          <w:rPr>
            <w:webHidden/>
          </w:rPr>
          <w:t>19</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6" w:history="1">
        <w:r w:rsidRPr="00B51EBA">
          <w:rPr>
            <w:rStyle w:val="Hyperlink"/>
          </w:rPr>
          <w:t>Appendix 1: Workgroup Details</w:t>
        </w:r>
        <w:r>
          <w:rPr>
            <w:webHidden/>
          </w:rPr>
          <w:tab/>
        </w:r>
        <w:r>
          <w:rPr>
            <w:webHidden/>
          </w:rPr>
          <w:fldChar w:fldCharType="begin"/>
        </w:r>
        <w:r>
          <w:rPr>
            <w:webHidden/>
          </w:rPr>
          <w:instrText xml:space="preserve"> PAGEREF _Toc467066306 \h </w:instrText>
        </w:r>
        <w:r>
          <w:rPr>
            <w:webHidden/>
          </w:rPr>
        </w:r>
        <w:r>
          <w:rPr>
            <w:webHidden/>
          </w:rPr>
          <w:fldChar w:fldCharType="separate"/>
        </w:r>
        <w:r>
          <w:rPr>
            <w:webHidden/>
          </w:rPr>
          <w:t>20</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7" w:history="1">
        <w:r w:rsidRPr="00B51EBA">
          <w:rPr>
            <w:rStyle w:val="Hyperlink"/>
          </w:rPr>
          <w:t>Appendix 2: Estimated Progression Effort</w:t>
        </w:r>
        <w:r>
          <w:rPr>
            <w:webHidden/>
          </w:rPr>
          <w:tab/>
        </w:r>
        <w:r>
          <w:rPr>
            <w:webHidden/>
          </w:rPr>
          <w:fldChar w:fldCharType="begin"/>
        </w:r>
        <w:r>
          <w:rPr>
            <w:webHidden/>
          </w:rPr>
          <w:instrText xml:space="preserve"> PAGEREF _Toc467066307 \h </w:instrText>
        </w:r>
        <w:r>
          <w:rPr>
            <w:webHidden/>
          </w:rPr>
        </w:r>
        <w:r>
          <w:rPr>
            <w:webHidden/>
          </w:rPr>
          <w:fldChar w:fldCharType="separate"/>
        </w:r>
        <w:r>
          <w:rPr>
            <w:webHidden/>
          </w:rPr>
          <w:t>22</w:t>
        </w:r>
        <w:r>
          <w:rPr>
            <w:webHidden/>
          </w:rPr>
          <w:fldChar w:fldCharType="end"/>
        </w:r>
      </w:hyperlink>
    </w:p>
    <w:p w:rsidR="00FF3867" w:rsidRDefault="00FF3867">
      <w:pPr>
        <w:pStyle w:val="TOC1"/>
        <w:rPr>
          <w:rFonts w:asciiTheme="minorHAnsi" w:eastAsiaTheme="minorEastAsia" w:hAnsiTheme="minorHAnsi" w:cstheme="minorBidi"/>
          <w:bCs w:val="0"/>
          <w:color w:val="auto"/>
          <w:sz w:val="22"/>
          <w:szCs w:val="22"/>
        </w:rPr>
      </w:pPr>
      <w:hyperlink w:anchor="_Toc467066308" w:history="1">
        <w:r w:rsidRPr="00B51EBA">
          <w:rPr>
            <w:rStyle w:val="Hyperlink"/>
          </w:rPr>
          <w:t>Appendix 3: Glossary &amp; References</w:t>
        </w:r>
        <w:r>
          <w:rPr>
            <w:webHidden/>
          </w:rPr>
          <w:tab/>
        </w:r>
        <w:r>
          <w:rPr>
            <w:webHidden/>
          </w:rPr>
          <w:fldChar w:fldCharType="begin"/>
        </w:r>
        <w:r>
          <w:rPr>
            <w:webHidden/>
          </w:rPr>
          <w:instrText xml:space="preserve"> PAGEREF _Toc467066308 \h </w:instrText>
        </w:r>
        <w:r>
          <w:rPr>
            <w:webHidden/>
          </w:rPr>
        </w:r>
        <w:r>
          <w:rPr>
            <w:webHidden/>
          </w:rPr>
          <w:fldChar w:fldCharType="separate"/>
        </w:r>
        <w:r>
          <w:rPr>
            <w:webHidden/>
          </w:rPr>
          <w:t>23</w:t>
        </w:r>
        <w:r>
          <w:rPr>
            <w:webHidden/>
          </w:rPr>
          <w:fldChar w:fldCharType="end"/>
        </w:r>
      </w:hyperlink>
    </w:p>
    <w:p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p>
    <w:p w:rsidR="009C7F6C" w:rsidRDefault="009C7F6C" w:rsidP="009C7F6C">
      <w:pPr>
        <w:pStyle w:val="BodyText"/>
      </w:pPr>
      <w:r w:rsidRPr="00515BA7">
        <w:t>This is the P</w:t>
      </w:r>
      <w:r w:rsidR="008E6AE8">
        <w:t>346</w:t>
      </w:r>
      <w:r w:rsidRPr="00515BA7">
        <w:t xml:space="preserve"> Final Modification Report, which ELEXON has submitted to </w:t>
      </w:r>
      <w:r>
        <w:t>the Authority</w:t>
      </w:r>
      <w:r w:rsidRPr="00515BA7">
        <w:t xml:space="preserve"> on behalf of the BSC Panel. It includes a summary of the Workgroup’s assessment, the Panel’s full views and the responses to both the Workgroup’s Assessment Consultation and the Panel’s Report Phase Consultation. </w:t>
      </w:r>
      <w:r>
        <w:t>The Authority</w:t>
      </w:r>
      <w:r w:rsidRPr="00515BA7">
        <w:t xml:space="preserve"> will consider this report and will decide whether to approve or reject P</w:t>
      </w:r>
      <w:r w:rsidR="008E6AE8">
        <w:t>346</w:t>
      </w:r>
      <w:r>
        <w:t>.</w:t>
      </w:r>
    </w:p>
    <w:p w:rsidR="009C7F6C" w:rsidRDefault="009C7F6C" w:rsidP="009C7F6C">
      <w:pPr>
        <w:pStyle w:val="BodyText"/>
      </w:pPr>
      <w:r w:rsidRPr="00CE3F38">
        <w:t xml:space="preserve">There are </w:t>
      </w:r>
      <w:r>
        <w:t>four</w:t>
      </w:r>
      <w:r w:rsidRPr="00CE3F38">
        <w:t xml:space="preserve"> parts to this document: </w:t>
      </w:r>
    </w:p>
    <w:p w:rsidR="009C7F6C" w:rsidRDefault="009C7F6C" w:rsidP="009C7F6C">
      <w:pPr>
        <w:pStyle w:val="ListParagraph"/>
        <w:numPr>
          <w:ilvl w:val="0"/>
          <w:numId w:val="41"/>
        </w:numPr>
        <w:ind w:left="714" w:hanging="357"/>
      </w:pPr>
      <w:r w:rsidRPr="00CE3F38">
        <w:t>This is the main document. It provides details of the solution, impacts, costs, benefits/drawbacks and proposed implementation approach. It also summarises the Workgroup’s key views on the areas set by the Panel in its Terms of Reference</w:t>
      </w:r>
      <w:r>
        <w:t xml:space="preserve">, and </w:t>
      </w:r>
      <w:r w:rsidRPr="00CE3F38">
        <w:t xml:space="preserve">contains details of the Workgroup’s membership and </w:t>
      </w:r>
      <w:r>
        <w:t xml:space="preserve">full </w:t>
      </w:r>
      <w:r w:rsidRPr="00CE3F38">
        <w:t>Terms of Reference</w:t>
      </w:r>
      <w:r>
        <w:t>.</w:t>
      </w:r>
    </w:p>
    <w:p w:rsidR="006060C3" w:rsidRDefault="006060C3" w:rsidP="006060C3">
      <w:pPr>
        <w:pStyle w:val="ListParagraph"/>
        <w:numPr>
          <w:ilvl w:val="0"/>
          <w:numId w:val="41"/>
        </w:numPr>
        <w:ind w:left="714" w:hanging="357"/>
      </w:pPr>
      <w:r w:rsidRPr="00CE3F38">
        <w:t>Attachment</w:t>
      </w:r>
      <w:r w:rsidR="00FF3867">
        <w:t xml:space="preserve"> A </w:t>
      </w:r>
      <w:bookmarkStart w:id="0" w:name="_GoBack"/>
      <w:bookmarkEnd w:id="0"/>
      <w:r w:rsidRPr="00CE3F38">
        <w:t xml:space="preserve">contains the </w:t>
      </w:r>
      <w:r>
        <w:t>approved</w:t>
      </w:r>
      <w:r w:rsidRPr="00CE3F38">
        <w:t xml:space="preserve"> redlined changes to</w:t>
      </w:r>
      <w:r>
        <w:t xml:space="preserve"> </w:t>
      </w:r>
      <w:hyperlink r:id="rId15" w:history="1">
        <w:r w:rsidRPr="00126676">
          <w:rPr>
            <w:rStyle w:val="Hyperlink"/>
          </w:rPr>
          <w:t>Section D</w:t>
        </w:r>
      </w:hyperlink>
      <w:r>
        <w:t xml:space="preserve">, </w:t>
      </w:r>
      <w:hyperlink r:id="rId16" w:history="1">
        <w:r w:rsidRPr="00126676">
          <w:rPr>
            <w:rStyle w:val="Hyperlink"/>
          </w:rPr>
          <w:t>Annex X-1</w:t>
        </w:r>
      </w:hyperlink>
      <w:r>
        <w:t xml:space="preserve"> and </w:t>
      </w:r>
      <w:hyperlink r:id="rId17" w:history="1">
        <w:r w:rsidRPr="00126676">
          <w:rPr>
            <w:rStyle w:val="Hyperlink"/>
          </w:rPr>
          <w:t>Annex X-2</w:t>
        </w:r>
      </w:hyperlink>
      <w:r>
        <w:t xml:space="preserve"> of</w:t>
      </w:r>
      <w:r w:rsidRPr="00CE3F38">
        <w:t xml:space="preserve"> the </w:t>
      </w:r>
      <w:r>
        <w:t>BSC</w:t>
      </w:r>
      <w:r w:rsidRPr="00CE3F38">
        <w:t xml:space="preserve"> for P</w:t>
      </w:r>
      <w:r>
        <w:t>346.</w:t>
      </w:r>
    </w:p>
    <w:p w:rsidR="009C7F6C" w:rsidRDefault="009C7F6C" w:rsidP="009C7F6C">
      <w:pPr>
        <w:pStyle w:val="ListParagraph"/>
        <w:numPr>
          <w:ilvl w:val="0"/>
          <w:numId w:val="41"/>
        </w:numPr>
        <w:ind w:left="714" w:hanging="357"/>
      </w:pPr>
      <w:r>
        <w:t>Attachment B</w:t>
      </w:r>
      <w:r w:rsidRPr="00CE3F38">
        <w:t xml:space="preserve"> contains the </w:t>
      </w:r>
      <w:r>
        <w:t>full responses received to the Workgroup’s Assessment Procedure Consultation.</w:t>
      </w:r>
    </w:p>
    <w:p w:rsidR="009C7F6C" w:rsidRDefault="009C7F6C" w:rsidP="009C7F6C">
      <w:pPr>
        <w:pStyle w:val="ListParagraph"/>
        <w:numPr>
          <w:ilvl w:val="0"/>
          <w:numId w:val="41"/>
        </w:numPr>
        <w:contextualSpacing/>
      </w:pPr>
      <w:r>
        <w:t xml:space="preserve">Attachment C contains </w:t>
      </w:r>
      <w:r w:rsidRPr="00CE3F38">
        <w:t xml:space="preserve">the </w:t>
      </w:r>
      <w:r>
        <w:t>full responses received to the Panel’s Report Phase Consultation.</w:t>
      </w:r>
    </w:p>
    <w:p w:rsidR="00D2198E" w:rsidRDefault="00D2198E" w:rsidP="00D95EDD">
      <w:pPr>
        <w:pStyle w:val="BodyText"/>
      </w:pPr>
    </w:p>
    <w:p w:rsidR="00785522" w:rsidRDefault="00785522" w:rsidP="00D95EDD">
      <w:pPr>
        <w:pStyle w:val="BodyText"/>
        <w:sectPr w:rsidR="00785522" w:rsidSect="00526E7D">
          <w:headerReference w:type="even" r:id="rId18"/>
          <w:headerReference w:type="default" r:id="rId19"/>
          <w:headerReference w:type="first" r:id="rId20"/>
          <w:footerReference w:type="first" r:id="rId21"/>
          <w:pgSz w:w="11906" w:h="16838" w:code="9"/>
          <w:pgMar w:top="567" w:right="2722" w:bottom="567" w:left="1134" w:header="284" w:footer="284" w:gutter="0"/>
          <w:cols w:space="708"/>
          <w:titlePg/>
          <w:docGrid w:linePitch="360"/>
        </w:sectPr>
      </w:pPr>
    </w:p>
    <w:p w:rsidR="00A13842" w:rsidRPr="00DB536D" w:rsidRDefault="00684B8F" w:rsidP="004174C7">
      <w:pPr>
        <w:pStyle w:val="Heading8"/>
      </w:pPr>
      <w:bookmarkStart w:id="1" w:name="_Toc467066296"/>
      <w:r>
        <w:lastRenderedPageBreak/>
        <w:t>S</w:t>
      </w:r>
      <w:r w:rsidR="00DB536D" w:rsidRPr="00DB536D">
        <w:t>ummary</w:t>
      </w:r>
      <w:bookmarkEnd w:id="1"/>
    </w:p>
    <w:p w:rsidR="006060C3" w:rsidRDefault="006060C3" w:rsidP="006060C3">
      <w:pPr>
        <w:pStyle w:val="Heading4"/>
      </w:pPr>
      <w:r w:rsidRPr="00293E7A">
        <w:t xml:space="preserve">Why </w:t>
      </w:r>
      <w:r w:rsidRPr="00D45E4C">
        <w:t>Change</w:t>
      </w:r>
      <w:r>
        <w:t>?</w:t>
      </w:r>
    </w:p>
    <w:p w:rsidR="006060C3" w:rsidRDefault="006060C3" w:rsidP="006060C3">
      <w:pPr>
        <w:pStyle w:val="BodyText"/>
      </w:pPr>
      <w:r w:rsidRPr="008F4872">
        <w:t xml:space="preserve">The current Specified Charging Methodology for Elective </w:t>
      </w:r>
      <w:r>
        <w:t>HH</w:t>
      </w:r>
      <w:r w:rsidRPr="008F4872">
        <w:t xml:space="preserve"> Meters in Measurement Classes “F” and “G” will lead to an approximate increase in annual costs of £2.00 per MSID for Suppliers migrating Meters from Non</w:t>
      </w:r>
      <w:r>
        <w:t>-</w:t>
      </w:r>
      <w:r w:rsidRPr="008F4872">
        <w:t xml:space="preserve">Half Hourly (NHH) Measurement Classes. </w:t>
      </w:r>
      <w:proofErr w:type="spellStart"/>
      <w:r w:rsidRPr="008F4872">
        <w:t>Ofgem</w:t>
      </w:r>
      <w:proofErr w:type="spellEnd"/>
      <w:r w:rsidRPr="008F4872">
        <w:t xml:space="preserve"> identified in its consultation on Elective HH Settlement that this may act as a barrier to migration.</w:t>
      </w:r>
    </w:p>
    <w:p w:rsidR="006060C3" w:rsidRPr="008F4872" w:rsidRDefault="006060C3" w:rsidP="006060C3">
      <w:pPr>
        <w:pStyle w:val="BodyText"/>
      </w:pPr>
    </w:p>
    <w:p w:rsidR="006060C3" w:rsidRDefault="006060C3" w:rsidP="006060C3">
      <w:pPr>
        <w:pStyle w:val="Heading4"/>
      </w:pPr>
      <w:r>
        <w:t>Solution</w:t>
      </w:r>
    </w:p>
    <w:p w:rsidR="006060C3" w:rsidRDefault="006060C3" w:rsidP="006060C3">
      <w:pPr>
        <w:pStyle w:val="BodyText"/>
      </w:pPr>
      <w:r>
        <w:t>P346 proposes that the ‘Supplier’ half of the total SVA Costs will be recovered through the application of a flat charge levied per SVA MSID per month. This will be applied equally to all SVA Metering Systems, both HH and NHH, across all Measurement Classes. As a result, the existing SVA (Consumption) Funding Share will be removed. The determination of the flat charge per SVA MSID will be done prior to the start of the BSC Year (April- March), and will apply throughout the BSC Year.</w:t>
      </w:r>
    </w:p>
    <w:p w:rsidR="006060C3" w:rsidRDefault="006060C3" w:rsidP="006060C3">
      <w:pPr>
        <w:pStyle w:val="BodyText"/>
      </w:pPr>
      <w:r>
        <w:t xml:space="preserve">The ‘Generator half’ of the total SVA charges will not be impacted by this change. </w:t>
      </w:r>
      <w:proofErr w:type="gramStart"/>
      <w:r>
        <w:t>Trading Charges under BSC Section T ‘Settlement and Trading Charges’ and Supplier Charges under BSC Section S Annex S-1 ‘Performance Levels and Supplier Charges’ are also unaffected.</w:t>
      </w:r>
      <w:proofErr w:type="gramEnd"/>
    </w:p>
    <w:p w:rsidR="006060C3" w:rsidRDefault="006060C3" w:rsidP="006060C3">
      <w:pPr>
        <w:pStyle w:val="BodyText"/>
      </w:pPr>
    </w:p>
    <w:p w:rsidR="006060C3" w:rsidRDefault="006060C3" w:rsidP="006060C3">
      <w:pPr>
        <w:pStyle w:val="Heading4"/>
      </w:pPr>
      <w:r w:rsidRPr="00293E7A">
        <w:t xml:space="preserve">Impacts &amp; </w:t>
      </w:r>
      <w:r w:rsidRPr="00016A1B">
        <w:t>Costs</w:t>
      </w:r>
    </w:p>
    <w:p w:rsidR="006060C3" w:rsidRDefault="006060C3" w:rsidP="006060C3">
      <w:pPr>
        <w:pStyle w:val="BodyText"/>
      </w:pPr>
      <w:r>
        <w:t>P346 will impact the Funding Share System (FSS), an ELEXON system that calculates the SVA Consumption figures. A system change will be required to include all SVA MSIDs in the SVA Specified Charge and remove the calculation of the SVA (Consumption) Funding Share. This will take approximately 8 weeks to complete.</w:t>
      </w:r>
    </w:p>
    <w:p w:rsidR="006060C3" w:rsidRPr="00DE5358" w:rsidRDefault="006060C3" w:rsidP="006060C3">
      <w:pPr>
        <w:pStyle w:val="BodyText"/>
        <w:rPr>
          <w:szCs w:val="20"/>
        </w:rPr>
      </w:pPr>
      <w:r>
        <w:rPr>
          <w:szCs w:val="20"/>
        </w:rPr>
        <w:t xml:space="preserve">The central implementation costs will be approximately </w:t>
      </w:r>
      <w:r>
        <w:t>£17,000 and</w:t>
      </w:r>
      <w:r>
        <w:rPr>
          <w:szCs w:val="20"/>
        </w:rPr>
        <w:t xml:space="preserve"> £240 (one ELEXON working day) to implement the relevant document changes.</w:t>
      </w:r>
    </w:p>
    <w:p w:rsidR="006060C3" w:rsidRDefault="006060C3" w:rsidP="006060C3">
      <w:pPr>
        <w:pStyle w:val="BodyText"/>
      </w:pPr>
      <w:r>
        <w:t xml:space="preserve">No impact is anticipated on BSC Party or Party Agent systems or processes to implement P346. </w:t>
      </w:r>
    </w:p>
    <w:p w:rsidR="006060C3" w:rsidRDefault="006060C3" w:rsidP="006060C3">
      <w:pPr>
        <w:pStyle w:val="BodyText"/>
      </w:pPr>
    </w:p>
    <w:p w:rsidR="006060C3" w:rsidRDefault="006060C3" w:rsidP="006060C3">
      <w:pPr>
        <w:pStyle w:val="Heading4"/>
      </w:pPr>
      <w:r w:rsidRPr="00D45E4C">
        <w:t>Implementation</w:t>
      </w:r>
      <w:r>
        <w:t xml:space="preserve"> </w:t>
      </w:r>
    </w:p>
    <w:p w:rsidR="006060C3" w:rsidRDefault="006060C3" w:rsidP="006060C3">
      <w:pPr>
        <w:pStyle w:val="BodyText"/>
      </w:pPr>
      <w:r w:rsidRPr="00E156BA">
        <w:t>P346 is proposed for implementation</w:t>
      </w:r>
      <w:r>
        <w:t xml:space="preserve"> on 1 April 2017</w:t>
      </w:r>
      <w:r w:rsidRPr="00E156BA">
        <w:t xml:space="preserve"> as part of </w:t>
      </w:r>
      <w:r>
        <w:t>the standalone April 2017 BSC Release.</w:t>
      </w:r>
      <w:r w:rsidRPr="00E156BA">
        <w:t xml:space="preserve"> </w:t>
      </w:r>
      <w:r>
        <w:t xml:space="preserve">The new charging process will therefore come into effect on 1 April 2017, if approved by the Authority. </w:t>
      </w:r>
    </w:p>
    <w:p w:rsidR="006060C3" w:rsidRDefault="006060C3" w:rsidP="006060C3">
      <w:pPr>
        <w:pStyle w:val="BodyText"/>
      </w:pPr>
    </w:p>
    <w:p w:rsidR="006060C3" w:rsidRDefault="006060C3" w:rsidP="006060C3">
      <w:pPr>
        <w:pStyle w:val="Heading4"/>
      </w:pPr>
      <w:r>
        <w:t>Recommendation</w:t>
      </w:r>
    </w:p>
    <w:p w:rsidR="006060C3" w:rsidRPr="00E156BA" w:rsidRDefault="006060C3" w:rsidP="006060C3">
      <w:pPr>
        <w:pStyle w:val="BodyText"/>
        <w:rPr>
          <w:color w:val="000000" w:themeColor="text1"/>
        </w:rPr>
      </w:pPr>
      <w:r>
        <w:rPr>
          <w:color w:val="000000" w:themeColor="text1"/>
        </w:rPr>
        <w:t>The Panel</w:t>
      </w:r>
      <w:r w:rsidRPr="00E156BA">
        <w:rPr>
          <w:color w:val="000000" w:themeColor="text1"/>
        </w:rPr>
        <w:t xml:space="preserve"> unanimously consider</w:t>
      </w:r>
      <w:r>
        <w:rPr>
          <w:color w:val="000000" w:themeColor="text1"/>
        </w:rPr>
        <w:t>s</w:t>
      </w:r>
      <w:r w:rsidRPr="00E156BA">
        <w:rPr>
          <w:color w:val="000000" w:themeColor="text1"/>
        </w:rPr>
        <w:t xml:space="preserve"> that P346 would better facilitate Applicable BSC Objectives (c) and (d) and so should be approved.</w:t>
      </w:r>
    </w:p>
    <w:p w:rsidR="00445062" w:rsidRDefault="00445062" w:rsidP="00294F4F">
      <w:pPr>
        <w:pStyle w:val="ListBullet2"/>
        <w:ind w:left="280" w:hanging="280"/>
        <w:sectPr w:rsidR="00445062" w:rsidSect="00526E7D">
          <w:pgSz w:w="11906" w:h="16838" w:code="9"/>
          <w:pgMar w:top="567" w:right="2722" w:bottom="567" w:left="1134" w:header="284" w:footer="284" w:gutter="0"/>
          <w:cols w:space="708"/>
          <w:titlePg/>
          <w:docGrid w:linePitch="360"/>
        </w:sectPr>
      </w:pPr>
    </w:p>
    <w:p w:rsidR="00684B8F" w:rsidRDefault="00684B8F" w:rsidP="00684B8F">
      <w:pPr>
        <w:pStyle w:val="Heading8"/>
      </w:pPr>
      <w:bookmarkStart w:id="2" w:name="_Toc467066297"/>
      <w:r w:rsidRPr="00293E7A">
        <w:lastRenderedPageBreak/>
        <w:t xml:space="preserve">Why </w:t>
      </w:r>
      <w:r w:rsidRPr="00D45E4C">
        <w:t>Change</w:t>
      </w:r>
      <w:r>
        <w:t>?</w:t>
      </w:r>
      <w:bookmarkEnd w:id="2"/>
    </w:p>
    <w:p w:rsidR="006060C3" w:rsidRPr="00B82DC8" w:rsidRDefault="006060C3" w:rsidP="006060C3">
      <w:pPr>
        <w:keepNext/>
        <w:spacing w:before="120" w:after="120"/>
        <w:outlineLvl w:val="3"/>
        <w:rPr>
          <w:b/>
          <w:bCs/>
          <w:color w:val="008576"/>
          <w:sz w:val="24"/>
          <w:szCs w:val="28"/>
        </w:rPr>
      </w:pPr>
      <w:r w:rsidRPr="00B82DC8">
        <w:rPr>
          <w:b/>
          <w:bCs/>
          <w:color w:val="008576"/>
          <w:sz w:val="24"/>
          <w:szCs w:val="28"/>
        </w:rPr>
        <w:t xml:space="preserve">Consultation on barriers to Elective HH Settlement </w:t>
      </w:r>
    </w:p>
    <w:p w:rsidR="006060C3" w:rsidRPr="00B82DC8" w:rsidRDefault="006060C3" w:rsidP="006060C3">
      <w:pPr>
        <w:spacing w:after="180"/>
      </w:pPr>
      <w:r w:rsidRPr="00B82DC8">
        <w:t xml:space="preserve">On 5 April 2016 </w:t>
      </w:r>
      <w:proofErr w:type="spellStart"/>
      <w:r w:rsidRPr="00B82DC8">
        <w:t>Ofgem</w:t>
      </w:r>
      <w:proofErr w:type="spellEnd"/>
      <w:r w:rsidRPr="00B82DC8">
        <w:t xml:space="preserve"> held a stakeholder event on the future of Electricity Market Elective HH Settlement. This was to further investigate issues raised in response to the </w:t>
      </w:r>
      <w:hyperlink r:id="rId22" w:history="1">
        <w:r w:rsidRPr="00031E93">
          <w:rPr>
            <w:rStyle w:val="Hyperlink"/>
          </w:rPr>
          <w:t>December 2015 open letter</w:t>
        </w:r>
      </w:hyperlink>
      <w:r w:rsidRPr="00B82DC8">
        <w:t xml:space="preserve"> on HH Settlement.</w:t>
      </w:r>
    </w:p>
    <w:p w:rsidR="006060C3" w:rsidRDefault="006060C3" w:rsidP="006060C3">
      <w:pPr>
        <w:spacing w:after="180"/>
      </w:pPr>
      <w:r w:rsidRPr="00B82DC8">
        <w:t xml:space="preserve">In May 2016 a </w:t>
      </w:r>
      <w:hyperlink r:id="rId23" w:history="1">
        <w:r w:rsidRPr="00031E93">
          <w:rPr>
            <w:rStyle w:val="Hyperlink"/>
          </w:rPr>
          <w:t>conclusions paper</w:t>
        </w:r>
      </w:hyperlink>
      <w:r w:rsidRPr="00B82DC8">
        <w:t xml:space="preserve"> was published. Under section 5.27 of the paper it was recommended that a Supplier should raise a Modification to the BSC to reform the SVA Specific Charging structure for Elective HH Settlement.</w:t>
      </w:r>
    </w:p>
    <w:p w:rsidR="006060C3" w:rsidRPr="00B82DC8" w:rsidRDefault="006060C3" w:rsidP="006060C3">
      <w:pPr>
        <w:spacing w:after="180"/>
      </w:pPr>
    </w:p>
    <w:p w:rsidR="006060C3" w:rsidRPr="00B82DC8" w:rsidRDefault="006060C3" w:rsidP="006060C3">
      <w:pPr>
        <w:keepNext/>
        <w:spacing w:before="120" w:after="120"/>
        <w:outlineLvl w:val="3"/>
        <w:rPr>
          <w:b/>
          <w:bCs/>
          <w:color w:val="008576"/>
          <w:sz w:val="24"/>
          <w:szCs w:val="28"/>
        </w:rPr>
      </w:pPr>
      <w:r w:rsidRPr="00B82DC8">
        <w:rPr>
          <w:b/>
          <w:bCs/>
          <w:color w:val="008576"/>
          <w:sz w:val="24"/>
          <w:szCs w:val="28"/>
        </w:rPr>
        <w:t>How are SVA Charges recovered from participants?</w:t>
      </w:r>
    </w:p>
    <w:p w:rsidR="006060C3" w:rsidRPr="00B82DC8" w:rsidRDefault="006060C3" w:rsidP="006060C3">
      <w:pPr>
        <w:spacing w:after="180"/>
      </w:pPr>
      <w:r w:rsidRPr="00B82DC8">
        <w:t>Balancing and Settlement Code Company (</w:t>
      </w:r>
      <w:proofErr w:type="spellStart"/>
      <w:r w:rsidRPr="00B82DC8">
        <w:t>BSCCo</w:t>
      </w:r>
      <w:proofErr w:type="spellEnd"/>
      <w:r w:rsidRPr="00B82DC8">
        <w:t xml:space="preserve">) Charges are recovered from all BSC Parties in accordance with </w:t>
      </w:r>
      <w:hyperlink r:id="rId24" w:history="1">
        <w:r w:rsidRPr="00031E93">
          <w:rPr>
            <w:rStyle w:val="Hyperlink"/>
          </w:rPr>
          <w:t>Section D ‘BSC Cost Recovery and Participation Charges’</w:t>
        </w:r>
      </w:hyperlink>
      <w:r w:rsidRPr="00B82DC8">
        <w:t xml:space="preserve"> of the BSC. A portion of these charges relate to the operational aspects of the SVA systems, and these SVA Charges are split equally between Generators and Suppliers.</w:t>
      </w:r>
      <w:r w:rsidRPr="00B82DC8">
        <w:rPr>
          <w:noProof/>
        </w:rPr>
        <w:t xml:space="preserve"> </w:t>
      </w:r>
      <w:r w:rsidRPr="00B82DC8">
        <w:rPr>
          <w:noProof/>
        </w:rPr>
        <mc:AlternateContent>
          <mc:Choice Requires="wps">
            <w:drawing>
              <wp:anchor distT="0" distB="0" distL="114300" distR="114300" simplePos="0" relativeHeight="251681792" behindDoc="0" locked="1" layoutInCell="1" allowOverlap="1" wp14:anchorId="3EDBAC8D" wp14:editId="0C776DB3">
                <wp:simplePos x="0" y="0"/>
                <wp:positionH relativeFrom="page">
                  <wp:posOffset>6010275</wp:posOffset>
                </wp:positionH>
                <wp:positionV relativeFrom="page">
                  <wp:posOffset>390525</wp:posOffset>
                </wp:positionV>
                <wp:extent cx="1332230" cy="5674995"/>
                <wp:effectExtent l="0" t="0" r="1270" b="1905"/>
                <wp:wrapNone/>
                <wp:docPr id="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674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E9518C" w:rsidRDefault="00D56FFF" w:rsidP="00D56FFF">
                                  <w:pPr>
                                    <w:pStyle w:val="Footer"/>
                                    <w:rPr>
                                      <w:b/>
                                    </w:rPr>
                                  </w:pPr>
                                  <w:r>
                                    <w:rPr>
                                      <w:b/>
                                      <w:noProof/>
                                    </w:rPr>
                                    <w:drawing>
                                      <wp:inline distT="0" distB="0" distL="0" distR="0" wp14:anchorId="45CE130F" wp14:editId="0DBE0157">
                                        <wp:extent cx="285750" cy="285750"/>
                                        <wp:effectExtent l="0" t="0" r="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56FFF">
                              <w:trPr>
                                <w:trHeight w:val="340"/>
                              </w:trPr>
                              <w:tc>
                                <w:tcPr>
                                  <w:tcW w:w="2113" w:type="dxa"/>
                                  <w:vAlign w:val="center"/>
                                </w:tcPr>
                                <w:p w:rsidR="00D56FFF" w:rsidRPr="003410CE" w:rsidRDefault="00D56FFF" w:rsidP="006C2760">
                                  <w:pPr>
                                    <w:pStyle w:val="Footer"/>
                                    <w:rPr>
                                      <w:b/>
                                    </w:rPr>
                                  </w:pPr>
                                  <w:r>
                                    <w:rPr>
                                      <w:b/>
                                    </w:rPr>
                                    <w:t>Measurement Classes</w:t>
                                  </w:r>
                                </w:p>
                              </w:tc>
                            </w:tr>
                            <w:tr w:rsidR="00D56FFF" w:rsidTr="00D56FFF">
                              <w:trPr>
                                <w:trHeight w:val="2320"/>
                              </w:trPr>
                              <w:tc>
                                <w:tcPr>
                                  <w:tcW w:w="2113" w:type="dxa"/>
                                  <w:tcBorders>
                                    <w:bottom w:val="nil"/>
                                  </w:tcBorders>
                                </w:tcPr>
                                <w:p w:rsidR="00D56FFF" w:rsidRDefault="00D56FFF" w:rsidP="00D56FFF">
                                  <w:pPr>
                                    <w:pStyle w:val="Footer"/>
                                    <w:spacing w:before="20"/>
                                  </w:pPr>
                                  <w:r>
                                    <w:t>The Measurement Class of a Metering System reflects how it is settled i.e. HH or NHH. There are seven Measurement Classes:</w:t>
                                  </w:r>
                                </w:p>
                                <w:p w:rsidR="00D56FFF" w:rsidRDefault="00D56FFF" w:rsidP="00D56FFF">
                                  <w:pPr>
                                    <w:pStyle w:val="Footer"/>
                                    <w:spacing w:before="20"/>
                                  </w:pPr>
                                </w:p>
                                <w:p w:rsidR="00D56FFF" w:rsidRDefault="00D56FFF" w:rsidP="00D56FFF">
                                  <w:pPr>
                                    <w:pStyle w:val="Footer"/>
                                    <w:spacing w:before="20"/>
                                    <w:ind w:left="284" w:hanging="284"/>
                                  </w:pPr>
                                  <w:r>
                                    <w:t>A:</w:t>
                                  </w:r>
                                  <w:r>
                                    <w:tab/>
                                    <w:t>NHH metered</w:t>
                                  </w:r>
                                </w:p>
                                <w:p w:rsidR="00D56FFF" w:rsidRDefault="00D56FFF" w:rsidP="00D56FFF">
                                  <w:pPr>
                                    <w:pStyle w:val="Footer"/>
                                    <w:spacing w:before="20"/>
                                    <w:ind w:left="284" w:hanging="284"/>
                                  </w:pPr>
                                  <w:r>
                                    <w:t>B:</w:t>
                                  </w:r>
                                  <w:r>
                                    <w:tab/>
                                    <w:t>NHH Unmetered Supply (UMS)</w:t>
                                  </w:r>
                                </w:p>
                                <w:p w:rsidR="00D56FFF" w:rsidRDefault="00D56FFF" w:rsidP="00D56FFF">
                                  <w:pPr>
                                    <w:pStyle w:val="Footer"/>
                                    <w:spacing w:before="20"/>
                                    <w:ind w:left="284" w:hanging="284"/>
                                  </w:pPr>
                                  <w:r>
                                    <w:t>C:</w:t>
                                  </w:r>
                                  <w:r>
                                    <w:tab/>
                                    <w:t>100kW or above HH metered</w:t>
                                  </w:r>
                                </w:p>
                                <w:p w:rsidR="00D56FFF" w:rsidRDefault="00D56FFF" w:rsidP="00D56FFF">
                                  <w:pPr>
                                    <w:pStyle w:val="Footer"/>
                                    <w:spacing w:before="20"/>
                                    <w:ind w:left="284" w:hanging="284"/>
                                  </w:pPr>
                                  <w:r>
                                    <w:t>D:</w:t>
                                  </w:r>
                                  <w:r>
                                    <w:tab/>
                                    <w:t>HH equivalent UMS</w:t>
                                  </w:r>
                                </w:p>
                                <w:p w:rsidR="00D56FFF" w:rsidRDefault="00D56FFF" w:rsidP="00D56FFF">
                                  <w:pPr>
                                    <w:pStyle w:val="Footer"/>
                                    <w:spacing w:before="20"/>
                                    <w:ind w:left="284" w:hanging="284"/>
                                  </w:pPr>
                                  <w:r>
                                    <w:t>E:</w:t>
                                  </w:r>
                                  <w:r>
                                    <w:tab/>
                                    <w:t xml:space="preserve">HH current transformer (CT) Metering Systems that have site specific </w:t>
                                  </w:r>
                                  <w:proofErr w:type="spellStart"/>
                                  <w:r>
                                    <w:t>DUoS</w:t>
                                  </w:r>
                                  <w:proofErr w:type="spellEnd"/>
                                  <w:r>
                                    <w:t xml:space="preserve"> billing and are not 100kW Metering Systems</w:t>
                                  </w:r>
                                </w:p>
                                <w:p w:rsidR="00D56FFF" w:rsidRDefault="00D56FFF" w:rsidP="00D56FFF">
                                  <w:pPr>
                                    <w:pStyle w:val="Footer"/>
                                    <w:spacing w:before="20"/>
                                    <w:ind w:left="284" w:hanging="284"/>
                                  </w:pPr>
                                  <w:r>
                                    <w:t>F:</w:t>
                                  </w:r>
                                  <w:r>
                                    <w:tab/>
                                    <w:t xml:space="preserve">domestic HH CT and whole current (WC) Metering Systems that have aggregated </w:t>
                                  </w:r>
                                  <w:proofErr w:type="spellStart"/>
                                  <w:r>
                                    <w:t>DUoS</w:t>
                                  </w:r>
                                  <w:proofErr w:type="spellEnd"/>
                                  <w:r>
                                    <w:t xml:space="preserve"> billing and are not 100kW Metering Systems</w:t>
                                  </w:r>
                                </w:p>
                                <w:p w:rsidR="00D56FFF" w:rsidRPr="00E9518C" w:rsidRDefault="00D56FFF" w:rsidP="00D56FFF">
                                  <w:pPr>
                                    <w:pStyle w:val="Footer"/>
                                    <w:spacing w:before="20"/>
                                    <w:ind w:left="284" w:hanging="284"/>
                                  </w:pPr>
                                  <w:r>
                                    <w:t>G:</w:t>
                                  </w:r>
                                  <w:r>
                                    <w:tab/>
                                    <w:t xml:space="preserve">non-domestic HH WC metered Metering Systems that have aggregated </w:t>
                                  </w:r>
                                  <w:proofErr w:type="spellStart"/>
                                  <w:r>
                                    <w:t>DUoS</w:t>
                                  </w:r>
                                  <w:proofErr w:type="spellEnd"/>
                                  <w:r>
                                    <w:t xml:space="preserve"> billing and are not 100kW Metering Systems</w:t>
                                  </w:r>
                                </w:p>
                              </w:tc>
                            </w:tr>
                          </w:tbl>
                          <w:p w:rsidR="00D56FFF" w:rsidRPr="006C2760" w:rsidRDefault="00D56FFF" w:rsidP="006060C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27" type="#_x0000_t202" style="position:absolute;margin-left:473.25pt;margin-top:30.75pt;width:104.9pt;height:446.8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B9PsAIAALI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E9518C" w:rsidRDefault="00D56FFF" w:rsidP="00D56FFF">
                            <w:pPr>
                              <w:pStyle w:val="Footer"/>
                              <w:rPr>
                                <w:b/>
                              </w:rPr>
                            </w:pPr>
                            <w:r>
                              <w:rPr>
                                <w:b/>
                                <w:noProof/>
                              </w:rPr>
                              <w:drawing>
                                <wp:inline distT="0" distB="0" distL="0" distR="0" wp14:anchorId="45CE130F" wp14:editId="0DBE0157">
                                  <wp:extent cx="285750" cy="285750"/>
                                  <wp:effectExtent l="0" t="0" r="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56FFF">
                        <w:trPr>
                          <w:trHeight w:val="340"/>
                        </w:trPr>
                        <w:tc>
                          <w:tcPr>
                            <w:tcW w:w="2113" w:type="dxa"/>
                            <w:vAlign w:val="center"/>
                          </w:tcPr>
                          <w:p w:rsidR="00D56FFF" w:rsidRPr="003410CE" w:rsidRDefault="00D56FFF" w:rsidP="006C2760">
                            <w:pPr>
                              <w:pStyle w:val="Footer"/>
                              <w:rPr>
                                <w:b/>
                              </w:rPr>
                            </w:pPr>
                            <w:r>
                              <w:rPr>
                                <w:b/>
                              </w:rPr>
                              <w:t>Measurement Classes</w:t>
                            </w:r>
                          </w:p>
                        </w:tc>
                      </w:tr>
                      <w:tr w:rsidR="00D56FFF" w:rsidTr="00D56FFF">
                        <w:trPr>
                          <w:trHeight w:val="2320"/>
                        </w:trPr>
                        <w:tc>
                          <w:tcPr>
                            <w:tcW w:w="2113" w:type="dxa"/>
                            <w:tcBorders>
                              <w:bottom w:val="nil"/>
                            </w:tcBorders>
                          </w:tcPr>
                          <w:p w:rsidR="00D56FFF" w:rsidRDefault="00D56FFF" w:rsidP="00D56FFF">
                            <w:pPr>
                              <w:pStyle w:val="Footer"/>
                              <w:spacing w:before="20"/>
                            </w:pPr>
                            <w:r>
                              <w:t>The Measurement Class of a Metering System reflects how it is settled i.e. HH or NHH. There are seven Measurement Classes:</w:t>
                            </w:r>
                          </w:p>
                          <w:p w:rsidR="00D56FFF" w:rsidRDefault="00D56FFF" w:rsidP="00D56FFF">
                            <w:pPr>
                              <w:pStyle w:val="Footer"/>
                              <w:spacing w:before="20"/>
                            </w:pPr>
                          </w:p>
                          <w:p w:rsidR="00D56FFF" w:rsidRDefault="00D56FFF" w:rsidP="00D56FFF">
                            <w:pPr>
                              <w:pStyle w:val="Footer"/>
                              <w:spacing w:before="20"/>
                              <w:ind w:left="284" w:hanging="284"/>
                            </w:pPr>
                            <w:r>
                              <w:t>A:</w:t>
                            </w:r>
                            <w:r>
                              <w:tab/>
                              <w:t>NHH metered</w:t>
                            </w:r>
                          </w:p>
                          <w:p w:rsidR="00D56FFF" w:rsidRDefault="00D56FFF" w:rsidP="00D56FFF">
                            <w:pPr>
                              <w:pStyle w:val="Footer"/>
                              <w:spacing w:before="20"/>
                              <w:ind w:left="284" w:hanging="284"/>
                            </w:pPr>
                            <w:r>
                              <w:t>B:</w:t>
                            </w:r>
                            <w:r>
                              <w:tab/>
                              <w:t>NHH Unmetered Supply (UMS)</w:t>
                            </w:r>
                          </w:p>
                          <w:p w:rsidR="00D56FFF" w:rsidRDefault="00D56FFF" w:rsidP="00D56FFF">
                            <w:pPr>
                              <w:pStyle w:val="Footer"/>
                              <w:spacing w:before="20"/>
                              <w:ind w:left="284" w:hanging="284"/>
                            </w:pPr>
                            <w:r>
                              <w:t>C:</w:t>
                            </w:r>
                            <w:r>
                              <w:tab/>
                              <w:t>100kW or above HH metered</w:t>
                            </w:r>
                          </w:p>
                          <w:p w:rsidR="00D56FFF" w:rsidRDefault="00D56FFF" w:rsidP="00D56FFF">
                            <w:pPr>
                              <w:pStyle w:val="Footer"/>
                              <w:spacing w:before="20"/>
                              <w:ind w:left="284" w:hanging="284"/>
                            </w:pPr>
                            <w:r>
                              <w:t>D:</w:t>
                            </w:r>
                            <w:r>
                              <w:tab/>
                              <w:t>HH equivalent UMS</w:t>
                            </w:r>
                          </w:p>
                          <w:p w:rsidR="00D56FFF" w:rsidRDefault="00D56FFF" w:rsidP="00D56FFF">
                            <w:pPr>
                              <w:pStyle w:val="Footer"/>
                              <w:spacing w:before="20"/>
                              <w:ind w:left="284" w:hanging="284"/>
                            </w:pPr>
                            <w:r>
                              <w:t>E:</w:t>
                            </w:r>
                            <w:r>
                              <w:tab/>
                              <w:t xml:space="preserve">HH current transformer (CT) Metering Systems that have site specific </w:t>
                            </w:r>
                            <w:proofErr w:type="spellStart"/>
                            <w:r>
                              <w:t>DUoS</w:t>
                            </w:r>
                            <w:proofErr w:type="spellEnd"/>
                            <w:r>
                              <w:t xml:space="preserve"> billing and are not 100kW Metering Systems</w:t>
                            </w:r>
                          </w:p>
                          <w:p w:rsidR="00D56FFF" w:rsidRDefault="00D56FFF" w:rsidP="00D56FFF">
                            <w:pPr>
                              <w:pStyle w:val="Footer"/>
                              <w:spacing w:before="20"/>
                              <w:ind w:left="284" w:hanging="284"/>
                            </w:pPr>
                            <w:r>
                              <w:t>F:</w:t>
                            </w:r>
                            <w:r>
                              <w:tab/>
                              <w:t xml:space="preserve">domestic HH CT and whole current (WC) Metering Systems that have aggregated </w:t>
                            </w:r>
                            <w:proofErr w:type="spellStart"/>
                            <w:r>
                              <w:t>DUoS</w:t>
                            </w:r>
                            <w:proofErr w:type="spellEnd"/>
                            <w:r>
                              <w:t xml:space="preserve"> billing and are not 100kW Metering Systems</w:t>
                            </w:r>
                          </w:p>
                          <w:p w:rsidR="00D56FFF" w:rsidRPr="00E9518C" w:rsidRDefault="00D56FFF" w:rsidP="00D56FFF">
                            <w:pPr>
                              <w:pStyle w:val="Footer"/>
                              <w:spacing w:before="20"/>
                              <w:ind w:left="284" w:hanging="284"/>
                            </w:pPr>
                            <w:r>
                              <w:t>G:</w:t>
                            </w:r>
                            <w:r>
                              <w:tab/>
                              <w:t xml:space="preserve">non-domestic HH WC metered Metering Systems that have aggregated </w:t>
                            </w:r>
                            <w:proofErr w:type="spellStart"/>
                            <w:r>
                              <w:t>DUoS</w:t>
                            </w:r>
                            <w:proofErr w:type="spellEnd"/>
                            <w:r>
                              <w:t xml:space="preserve"> billing and are not 100kW Metering Systems</w:t>
                            </w:r>
                          </w:p>
                        </w:tc>
                      </w:tr>
                    </w:tbl>
                    <w:p w:rsidR="00D56FFF" w:rsidRPr="006C2760" w:rsidRDefault="00D56FFF" w:rsidP="006060C3">
                      <w:pPr>
                        <w:pStyle w:val="Footer"/>
                        <w:spacing w:line="240" w:lineRule="auto"/>
                        <w:rPr>
                          <w:sz w:val="2"/>
                          <w:szCs w:val="2"/>
                        </w:rPr>
                      </w:pPr>
                    </w:p>
                  </w:txbxContent>
                </v:textbox>
                <w10:wrap anchorx="page" anchory="page"/>
                <w10:anchorlock/>
              </v:shape>
            </w:pict>
          </mc:Fallback>
        </mc:AlternateContent>
      </w:r>
    </w:p>
    <w:p w:rsidR="006060C3" w:rsidRPr="00B82DC8" w:rsidRDefault="006060C3" w:rsidP="006060C3">
      <w:pPr>
        <w:spacing w:after="180"/>
        <w:ind w:left="714" w:hanging="357"/>
      </w:pPr>
      <w:r w:rsidRPr="00B82DC8">
        <w:t>Generators contribute to the Production half, with these costs referred to as the Production Charging SVA Costs.</w:t>
      </w:r>
    </w:p>
    <w:p w:rsidR="006060C3" w:rsidRPr="00B82DC8" w:rsidRDefault="006060C3" w:rsidP="006060C3">
      <w:pPr>
        <w:spacing w:after="180"/>
        <w:ind w:left="714" w:hanging="357"/>
      </w:pPr>
      <w:r w:rsidRPr="00B82DC8">
        <w:t>Suppliers pay the other half of the SVA Charges, with this portion split between the SVA Specified Charge and the Monthly Consumption Charging Net SVA Costs.</w:t>
      </w:r>
    </w:p>
    <w:p w:rsidR="006060C3" w:rsidRPr="00B82DC8" w:rsidRDefault="006060C3" w:rsidP="006060C3">
      <w:pPr>
        <w:spacing w:after="180"/>
      </w:pPr>
      <w:r w:rsidRPr="00B82DC8">
        <w:t>The SVA Specified Charge is a flat charge per SVA MSID levied every month on Suppliers based on the number of HH SVA Metering Systems where they are the Registrant. This charge is re-determined annually, to recover approximately half of the ‘Supplier half’ of Shared SVA cost (i.e. Annual SVA Costs that are not NHH-specific). The charge for the 2016/17 BSC Year is set at £0.35 per HH SVA MSID per calendar month. Suppliers are allocated this charge based on the number of HH SVA Metering Systems they have registered for all or any part of any given month.</w:t>
      </w:r>
    </w:p>
    <w:p w:rsidR="006060C3" w:rsidRPr="00B82DC8" w:rsidRDefault="006060C3" w:rsidP="006060C3">
      <w:pPr>
        <w:spacing w:after="180"/>
      </w:pPr>
      <w:r w:rsidRPr="00B82DC8">
        <w:t>The remainder of the ‘Supplier’ share of the SVA Charges is allocated through the Consumption Charging Net SVA Costs. This portion of costs is levied on Suppliers via the SVA (Consumption) Funding Share. This Funding Share, determined for each calendar month, is based on each Supplier’s NHH Supplier Deemed Take (the volume of energy deemed to have been consumed through NHH Metering Systems) as a ratio of the total NHH Supplier Deemed Take. Suppliers are therefore allocated this charge based on the proportion of the total NHH energy their customers have consumed each month.</w:t>
      </w:r>
    </w:p>
    <w:p w:rsidR="006060C3" w:rsidRPr="00B82DC8" w:rsidRDefault="006060C3" w:rsidP="006060C3">
      <w:pPr>
        <w:spacing w:after="180"/>
      </w:pPr>
    </w:p>
    <w:p w:rsidR="006060C3" w:rsidRPr="00B82DC8" w:rsidRDefault="006060C3" w:rsidP="006060C3">
      <w:pPr>
        <w:keepNext/>
        <w:spacing w:before="120" w:after="120"/>
        <w:outlineLvl w:val="3"/>
        <w:rPr>
          <w:b/>
          <w:bCs/>
          <w:color w:val="008576"/>
          <w:sz w:val="24"/>
          <w:szCs w:val="28"/>
        </w:rPr>
      </w:pPr>
      <w:r w:rsidRPr="00B82DC8">
        <w:rPr>
          <w:b/>
          <w:bCs/>
          <w:color w:val="008576"/>
          <w:sz w:val="24"/>
          <w:szCs w:val="28"/>
        </w:rPr>
        <w:t>What is the issue?</w:t>
      </w:r>
    </w:p>
    <w:p w:rsidR="006060C3" w:rsidRPr="00B82DC8" w:rsidRDefault="006060C3" w:rsidP="006060C3">
      <w:pPr>
        <w:spacing w:after="180"/>
      </w:pPr>
      <w:r w:rsidRPr="00B82DC8">
        <w:t>The current methodology does not cater for the different types of HH Measurement Class, so all HH SVA Metering Systems are charged at the same fixed rate regardless of the end Customer (e.g. a large industrial unit or a domestic Customer). Applying this single charge to all HH SVA sites</w:t>
      </w:r>
      <w:r>
        <w:t>,</w:t>
      </w:r>
      <w:r w:rsidRPr="00B82DC8">
        <w:t xml:space="preserve"> results in each domestic Custome</w:t>
      </w:r>
      <w:r>
        <w:t xml:space="preserve">r electing into HH Settlement, </w:t>
      </w:r>
      <w:r w:rsidRPr="00B82DC8">
        <w:t>attracting an approximate £2.00 cost to the Supplier per SVA MSID annually. This cost is based on estimations that ELEXON completed for the Settlement Review Advisory Group (SRAG). In the calculation an assumption was made that with increased volumes of HH SVA sites due to the smart Meter roll out, the current charge of £0.35 per calendar month would reduce.</w:t>
      </w:r>
    </w:p>
    <w:p w:rsidR="00D2198E" w:rsidRPr="00D95EDD" w:rsidRDefault="006060C3" w:rsidP="006060C3">
      <w:pPr>
        <w:pStyle w:val="BodyText"/>
        <w:sectPr w:rsidR="00D2198E" w:rsidRPr="00D95EDD" w:rsidSect="00526E7D">
          <w:pgSz w:w="11906" w:h="16838" w:code="9"/>
          <w:pgMar w:top="567" w:right="2722" w:bottom="567" w:left="1134" w:header="284" w:footer="284" w:gutter="0"/>
          <w:cols w:space="708"/>
          <w:titlePg/>
          <w:docGrid w:linePitch="360"/>
        </w:sectPr>
      </w:pPr>
      <w:r w:rsidRPr="00B82DC8">
        <w:lastRenderedPageBreak/>
        <w:t>The cost increase of HH charges versus NHH charges, may act as a disincentive to Suppliers promoting Elective HH Settlement in the market, limiting the number of domestic and small non-domestic Customers entering into HH Settlement.</w:t>
      </w:r>
    </w:p>
    <w:p w:rsidR="00DB536D" w:rsidRDefault="00DB536D" w:rsidP="001F0901">
      <w:pPr>
        <w:pStyle w:val="Heading8"/>
      </w:pPr>
      <w:bookmarkStart w:id="3" w:name="_Toc467066298"/>
      <w:r>
        <w:lastRenderedPageBreak/>
        <w:t>Solution</w:t>
      </w:r>
      <w:bookmarkEnd w:id="3"/>
    </w:p>
    <w:p w:rsidR="006060C3" w:rsidRPr="00B029D2" w:rsidRDefault="006060C3" w:rsidP="006060C3">
      <w:pPr>
        <w:keepNext/>
        <w:spacing w:before="120" w:after="120"/>
        <w:outlineLvl w:val="3"/>
        <w:rPr>
          <w:b/>
          <w:bCs/>
          <w:color w:val="008576"/>
          <w:sz w:val="24"/>
          <w:szCs w:val="28"/>
        </w:rPr>
      </w:pPr>
      <w:r w:rsidRPr="00B029D2">
        <w:rPr>
          <w:b/>
          <w:bCs/>
          <w:color w:val="008576"/>
          <w:sz w:val="24"/>
          <w:szCs w:val="28"/>
        </w:rPr>
        <w:t>Proposed solution</w:t>
      </w:r>
    </w:p>
    <w:p w:rsidR="006060C3" w:rsidRPr="00B029D2" w:rsidRDefault="00FF3867" w:rsidP="006060C3">
      <w:pPr>
        <w:spacing w:after="180"/>
      </w:pPr>
      <w:hyperlink r:id="rId26" w:history="1">
        <w:r w:rsidR="006060C3" w:rsidRPr="00031E93">
          <w:rPr>
            <w:rStyle w:val="Hyperlink"/>
          </w:rPr>
          <w:t>P346 ‘Changes to the BSC Specified Charges to facilitate Elective HH settlement’</w:t>
        </w:r>
      </w:hyperlink>
      <w:r w:rsidR="006060C3" w:rsidRPr="00031E93">
        <w:rPr>
          <w:rStyle w:val="Hyperlink"/>
        </w:rPr>
        <w:t xml:space="preserve"> </w:t>
      </w:r>
      <w:r w:rsidR="006060C3" w:rsidRPr="00B029D2">
        <w:t xml:space="preserve">was raised by British Gas on 23 June 2016. The initial solution proposed </w:t>
      </w:r>
      <w:r w:rsidR="006060C3">
        <w:t xml:space="preserve">was such </w:t>
      </w:r>
      <w:r w:rsidR="006060C3" w:rsidRPr="00B029D2">
        <w:t xml:space="preserve">that the </w:t>
      </w:r>
      <w:proofErr w:type="spellStart"/>
      <w:r w:rsidR="006060C3" w:rsidRPr="00B029D2">
        <w:t>BSCCo</w:t>
      </w:r>
      <w:proofErr w:type="spellEnd"/>
      <w:r w:rsidR="006060C3" w:rsidRPr="00B029D2">
        <w:t xml:space="preserve"> Charges calculation for Suppliers is modified to reflect the different types of HH SVA customer and the level of strain they put on BSC Systems. This will remove the aforementioned barrier and encourage Suppliers to participate in Elective HH Settlement.</w:t>
      </w:r>
    </w:p>
    <w:p w:rsidR="006060C3" w:rsidRPr="00B029D2" w:rsidRDefault="006060C3" w:rsidP="006060C3">
      <w:pPr>
        <w:spacing w:after="180"/>
      </w:pPr>
      <w:r w:rsidRPr="00B029D2">
        <w:t xml:space="preserve">However, </w:t>
      </w:r>
      <w:r>
        <w:t>at</w:t>
      </w:r>
      <w:r w:rsidRPr="00B029D2">
        <w:t xml:space="preserve"> the first Workgroup held on 25 July 2016, the Proposer amended the proposed solution based on Workgroup discussions. </w:t>
      </w:r>
    </w:p>
    <w:p w:rsidR="006060C3" w:rsidRPr="00B029D2" w:rsidRDefault="006060C3" w:rsidP="006060C3">
      <w:pPr>
        <w:spacing w:after="180"/>
      </w:pPr>
      <w:r w:rsidRPr="00B029D2">
        <w:t xml:space="preserve">The new proposed solution is: </w:t>
      </w:r>
    </w:p>
    <w:p w:rsidR="006060C3" w:rsidRPr="00B029D2" w:rsidRDefault="006060C3" w:rsidP="006060C3">
      <w:pPr>
        <w:spacing w:after="180"/>
      </w:pPr>
      <w:r w:rsidRPr="00B029D2">
        <w:t>To amend the recovery of SVA Costs such the whole of the ‘Supplier half’ of the total SVA Costs will be recovered through the application of the SVA Specified Charge, levied per SVA MSID per month. This will be applied equally to all SVA Metering Systems, both HH and NHH, across all Measurement Classes. As a result, the existing SVA (Consumption) Funding Share will be removed.</w:t>
      </w:r>
    </w:p>
    <w:p w:rsidR="006060C3" w:rsidRPr="00B029D2" w:rsidRDefault="006060C3" w:rsidP="006060C3">
      <w:pPr>
        <w:spacing w:after="180"/>
      </w:pPr>
      <w:r w:rsidRPr="00B029D2">
        <w:t>The determination of the SVA Specified Charge will be carried out and approved, as now, prior to the start of each BSC Year. This tariff will then be applied each month across the BSC Year. Each month, each Supplier will be charged this tariff per SVA MSID, both HH and NHH, that was registered to them on the first day in that month. Any surplus or shortfall in the amount of SVA Costs recovered across the year will be allocated to the Net Main Costs and recovered using the Main Funding Share.</w:t>
      </w:r>
    </w:p>
    <w:p w:rsidR="006060C3" w:rsidRPr="00B029D2" w:rsidRDefault="006060C3" w:rsidP="006060C3">
      <w:pPr>
        <w:spacing w:after="180"/>
      </w:pPr>
      <w:r w:rsidRPr="00B029D2">
        <w:t>There will be no change to the recovery of the ‘Generator half’ of the SVA Costs.</w:t>
      </w:r>
    </w:p>
    <w:p w:rsidR="006060C3" w:rsidRPr="00B029D2" w:rsidRDefault="006060C3" w:rsidP="006060C3">
      <w:pPr>
        <w:spacing w:after="180"/>
      </w:pPr>
    </w:p>
    <w:p w:rsidR="006060C3" w:rsidRPr="00B029D2" w:rsidRDefault="006060C3" w:rsidP="006060C3">
      <w:pPr>
        <w:keepNext/>
        <w:spacing w:before="120" w:after="120"/>
        <w:outlineLvl w:val="3"/>
        <w:rPr>
          <w:b/>
          <w:bCs/>
          <w:color w:val="008576"/>
          <w:sz w:val="24"/>
          <w:szCs w:val="28"/>
        </w:rPr>
      </w:pPr>
      <w:r w:rsidRPr="00B029D2">
        <w:rPr>
          <w:b/>
          <w:bCs/>
          <w:color w:val="008576"/>
          <w:sz w:val="24"/>
          <w:szCs w:val="28"/>
        </w:rPr>
        <w:t>Legal text</w:t>
      </w:r>
    </w:p>
    <w:p w:rsidR="006060C3" w:rsidRPr="00B029D2" w:rsidRDefault="006060C3" w:rsidP="006060C3">
      <w:pPr>
        <w:spacing w:after="180"/>
      </w:pPr>
      <w:r w:rsidRPr="00B029D2">
        <w:t>The proposed changes to the BSC to deliver P346 can be found in Attachment A.</w:t>
      </w:r>
    </w:p>
    <w:p w:rsidR="006060C3" w:rsidRDefault="006060C3" w:rsidP="006060C3">
      <w:pPr>
        <w:spacing w:after="180"/>
      </w:pPr>
      <w:r w:rsidRPr="00B029D2">
        <w:t>We have taken this opportunity to include some housekeeping changes identified within the Code Sections impacted by P346, which can also be found in Attachment A. If P346 is approved, these housekeeping changes would be made as part of its implementation.</w:t>
      </w:r>
    </w:p>
    <w:p w:rsidR="006060C3" w:rsidRDefault="006060C3" w:rsidP="006060C3">
      <w:pPr>
        <w:pStyle w:val="BodyText"/>
      </w:pPr>
      <w:r>
        <w:t>The housekeeping change removes the duplicated sub bullets (v) and (</w:t>
      </w:r>
      <w:proofErr w:type="gramStart"/>
      <w:r>
        <w:t>vi</w:t>
      </w:r>
      <w:proofErr w:type="gramEnd"/>
      <w:r>
        <w:t>) in Section D, subsection 4.1 (a).</w:t>
      </w:r>
    </w:p>
    <w:p w:rsidR="006060C3" w:rsidRPr="00860196" w:rsidRDefault="006060C3" w:rsidP="006060C3">
      <w:pPr>
        <w:pStyle w:val="BodyText"/>
        <w:rPr>
          <w:color w:val="FF0000"/>
        </w:rPr>
      </w:pPr>
    </w:p>
    <w:p w:rsidR="006060C3" w:rsidRPr="00B029D2" w:rsidRDefault="006060C3" w:rsidP="006060C3">
      <w:pPr>
        <w:keepNext/>
        <w:spacing w:before="120" w:after="120"/>
        <w:outlineLvl w:val="3"/>
        <w:rPr>
          <w:b/>
          <w:bCs/>
          <w:color w:val="008576"/>
          <w:sz w:val="24"/>
          <w:szCs w:val="28"/>
        </w:rPr>
      </w:pPr>
      <w:r w:rsidRPr="00B029D2">
        <w:rPr>
          <w:b/>
          <w:bCs/>
          <w:color w:val="008576"/>
          <w:sz w:val="24"/>
          <w:szCs w:val="28"/>
        </w:rPr>
        <w:t>Self-Governance</w:t>
      </w:r>
    </w:p>
    <w:p w:rsidR="006060C3" w:rsidRPr="00B029D2" w:rsidRDefault="006060C3" w:rsidP="006060C3">
      <w:pPr>
        <w:spacing w:after="180"/>
      </w:pPr>
      <w:r w:rsidRPr="00B029D2">
        <w:t>The Workgroup did not identify any reason why Modification P346 should not progress as Self</w:t>
      </w:r>
      <w:r>
        <w:t>-</w:t>
      </w:r>
      <w:r w:rsidRPr="00B029D2">
        <w:t xml:space="preserve">Governance. </w:t>
      </w:r>
    </w:p>
    <w:p w:rsidR="006060C3" w:rsidRPr="00B029D2" w:rsidRDefault="006060C3" w:rsidP="006060C3">
      <w:pPr>
        <w:spacing w:after="180"/>
      </w:pPr>
    </w:p>
    <w:p w:rsidR="006060C3" w:rsidRPr="00B029D2" w:rsidRDefault="006060C3" w:rsidP="006060C3">
      <w:pPr>
        <w:keepNext/>
        <w:spacing w:before="120" w:after="120"/>
        <w:outlineLvl w:val="3"/>
        <w:rPr>
          <w:b/>
          <w:bCs/>
          <w:color w:val="008576"/>
          <w:sz w:val="24"/>
          <w:szCs w:val="28"/>
        </w:rPr>
      </w:pPr>
      <w:r w:rsidRPr="00B029D2">
        <w:rPr>
          <w:b/>
          <w:bCs/>
          <w:color w:val="008576"/>
          <w:sz w:val="24"/>
          <w:szCs w:val="28"/>
        </w:rPr>
        <w:t>Are there any alternative solutions?</w:t>
      </w:r>
    </w:p>
    <w:p w:rsidR="006060C3" w:rsidRPr="00B029D2" w:rsidRDefault="006060C3" w:rsidP="006060C3">
      <w:pPr>
        <w:spacing w:after="180"/>
      </w:pPr>
      <w:r w:rsidRPr="00B029D2">
        <w:t xml:space="preserve">The Workgroup considered the initial </w:t>
      </w:r>
      <w:proofErr w:type="gramStart"/>
      <w:r>
        <w:t>Proposed</w:t>
      </w:r>
      <w:proofErr w:type="gramEnd"/>
      <w:r>
        <w:t xml:space="preserve"> </w:t>
      </w:r>
      <w:r w:rsidRPr="00B029D2">
        <w:t>solution</w:t>
      </w:r>
      <w:r>
        <w:t xml:space="preserve"> from the time of raising the Modification, along with a potential Alternative solution discussed by the Workgroup. </w:t>
      </w:r>
      <w:r w:rsidRPr="00B029D2">
        <w:t xml:space="preserve">However, the Workgroup has determined that </w:t>
      </w:r>
      <w:r>
        <w:t>none of these solutions</w:t>
      </w:r>
      <w:r w:rsidRPr="00B029D2">
        <w:t xml:space="preserve"> would</w:t>
      </w:r>
      <w:r>
        <w:t xml:space="preserve"> </w:t>
      </w:r>
      <w:r w:rsidRPr="00B029D2">
        <w:t>better facilitate the Applicable BSC Objectives</w:t>
      </w:r>
      <w:r>
        <w:t xml:space="preserve"> in comparison</w:t>
      </w:r>
      <w:r w:rsidRPr="00B029D2">
        <w:t xml:space="preserve"> to the</w:t>
      </w:r>
      <w:r>
        <w:t xml:space="preserve"> updated </w:t>
      </w:r>
      <w:proofErr w:type="gramStart"/>
      <w:r>
        <w:t>Proposed</w:t>
      </w:r>
      <w:proofErr w:type="gramEnd"/>
      <w:r>
        <w:t xml:space="preserve"> solution that the Proposer adopted following Workgroup comments.</w:t>
      </w:r>
    </w:p>
    <w:p w:rsidR="006060C3" w:rsidRDefault="006060C3" w:rsidP="006060C3">
      <w:pPr>
        <w:spacing w:after="180"/>
      </w:pPr>
      <w:r w:rsidRPr="00B029D2">
        <w:lastRenderedPageBreak/>
        <w:t xml:space="preserve">We have summarised the initial </w:t>
      </w:r>
      <w:proofErr w:type="gramStart"/>
      <w:r>
        <w:t>Proposed</w:t>
      </w:r>
      <w:proofErr w:type="gramEnd"/>
      <w:r>
        <w:t xml:space="preserve"> </w:t>
      </w:r>
      <w:r w:rsidRPr="00B029D2">
        <w:t>solution</w:t>
      </w:r>
      <w:r>
        <w:t xml:space="preserve"> from the time of raising the Modification, along with a potential Alternative solution discussed by the Workgroup</w:t>
      </w:r>
      <w:r w:rsidRPr="00B029D2">
        <w:t xml:space="preserve"> below, and the full Workgroup discussions on each can be found in Section 6:</w:t>
      </w:r>
    </w:p>
    <w:p w:rsidR="006060C3" w:rsidRPr="00B029D2" w:rsidRDefault="006060C3" w:rsidP="006060C3">
      <w:pPr>
        <w:pStyle w:val="Heading5"/>
      </w:pPr>
      <w:r>
        <w:t>Initial Proposed solution (at time of raising Modification)</w:t>
      </w:r>
    </w:p>
    <w:p w:rsidR="006060C3" w:rsidRDefault="006060C3" w:rsidP="006060C3">
      <w:pPr>
        <w:ind w:left="360"/>
      </w:pPr>
      <w:r w:rsidRPr="00B029D2">
        <w:t>Charge HH sites in Measurement Class C as they are currently (using the SVA Specified Charge) but charging sites in Measurement Classes “E”, “F” and “G” through the NHH method (using the SVA (Consumption) Funding Share). This would have the effect of applying the same charges going forward as ha</w:t>
      </w:r>
      <w:r>
        <w:t>ve been historically.</w:t>
      </w:r>
    </w:p>
    <w:p w:rsidR="006060C3" w:rsidRDefault="006060C3" w:rsidP="006060C3">
      <w:pPr>
        <w:pStyle w:val="Heading5"/>
      </w:pPr>
      <w:r>
        <w:t>Potential Alternative solution (as discussed by the Workgroup)</w:t>
      </w:r>
    </w:p>
    <w:p w:rsidR="006060C3" w:rsidRDefault="006060C3" w:rsidP="006060C3">
      <w:pPr>
        <w:ind w:left="360"/>
      </w:pPr>
      <w:r w:rsidRPr="00B029D2">
        <w:t>Create a new SVA Specified Charge to reflect the different customer types in the HH market. There would be one tariff applied to Measurement Class “C” and a separate new tariff for Measurement Classes “E”, “F” and “G”. This method would reflect that the demands on the SVA systems are not the same, reducing the cost to Suppliers if they wish to promote t</w:t>
      </w:r>
      <w:r>
        <w:t>he HH market to their customers.</w:t>
      </w:r>
    </w:p>
    <w:p w:rsidR="006060C3" w:rsidRDefault="006060C3" w:rsidP="00445062">
      <w:pPr>
        <w:pStyle w:val="BodyText"/>
      </w:pPr>
    </w:p>
    <w:p w:rsidR="00445062" w:rsidRDefault="00445062" w:rsidP="00445062">
      <w:pPr>
        <w:pStyle w:val="BodyText"/>
      </w:pPr>
    </w:p>
    <w:p w:rsidR="00661737" w:rsidRDefault="00661737" w:rsidP="00661737">
      <w:pPr>
        <w:pStyle w:val="BodyText"/>
      </w:pPr>
    </w:p>
    <w:p w:rsidR="00D2198E" w:rsidRDefault="00D2198E" w:rsidP="00661737">
      <w:pPr>
        <w:pStyle w:val="BodyText"/>
        <w:sectPr w:rsidR="00D2198E" w:rsidSect="00526E7D">
          <w:headerReference w:type="even" r:id="rId27"/>
          <w:headerReference w:type="default" r:id="rId28"/>
          <w:headerReference w:type="first" r:id="rId29"/>
          <w:footerReference w:type="first" r:id="rId30"/>
          <w:pgSz w:w="11906" w:h="16838" w:code="9"/>
          <w:pgMar w:top="567" w:right="2722" w:bottom="567" w:left="1134" w:header="284" w:footer="284" w:gutter="0"/>
          <w:cols w:space="708"/>
          <w:titlePg/>
          <w:docGrid w:linePitch="360"/>
        </w:sectPr>
      </w:pPr>
    </w:p>
    <w:p w:rsidR="001F0901" w:rsidRDefault="00293E7A" w:rsidP="008F65A0">
      <w:pPr>
        <w:pStyle w:val="Heading8"/>
        <w:pageBreakBefore/>
        <w:ind w:right="198"/>
      </w:pPr>
      <w:bookmarkStart w:id="4" w:name="_Toc467066299"/>
      <w:r w:rsidRPr="00293E7A">
        <w:lastRenderedPageBreak/>
        <w:t xml:space="preserve">Impacts &amp; </w:t>
      </w:r>
      <w:r w:rsidRPr="00016A1B">
        <w:t>Costs</w:t>
      </w:r>
      <w:bookmarkEnd w:id="4"/>
    </w:p>
    <w:p w:rsidR="006060C3" w:rsidRDefault="006060C3" w:rsidP="006060C3">
      <w:pPr>
        <w:pStyle w:val="Heading4"/>
        <w:spacing w:before="0"/>
      </w:pPr>
      <w:r>
        <w:t>Estimated central implementation costs of P346</w:t>
      </w:r>
    </w:p>
    <w:p w:rsidR="006060C3" w:rsidRDefault="006060C3" w:rsidP="006060C3">
      <w:pPr>
        <w:pStyle w:val="BodyText"/>
      </w:pPr>
      <w:r w:rsidRPr="00FD6F92">
        <w:t>The internal impact assessment undertaken by ELEXON</w:t>
      </w:r>
      <w:r>
        <w:t xml:space="preserve"> and our Service Providers</w:t>
      </w:r>
      <w:r w:rsidRPr="00FD6F92">
        <w:t xml:space="preserve"> indicated a cost of £</w:t>
      </w:r>
      <w:r>
        <w:t>17,000</w:t>
      </w:r>
      <w:r w:rsidRPr="00FD6F92">
        <w:t xml:space="preserve"> for the system changes required to implement the solution. This work has been estimated to take 8 weeks to complete in full. </w:t>
      </w:r>
    </w:p>
    <w:p w:rsidR="006060C3" w:rsidRDefault="006060C3" w:rsidP="006060C3">
      <w:pPr>
        <w:pStyle w:val="BodyText"/>
        <w:rPr>
          <w:szCs w:val="20"/>
        </w:rPr>
      </w:pPr>
      <w:r>
        <w:rPr>
          <w:szCs w:val="20"/>
        </w:rPr>
        <w:t>The central implementation costs will be approximately £240 (one ELEXON working day) to implement the relevant document changes.</w:t>
      </w:r>
    </w:p>
    <w:p w:rsidR="006060C3" w:rsidRDefault="006060C3" w:rsidP="006060C3">
      <w:pPr>
        <w:pStyle w:val="BodyText"/>
      </w:pPr>
    </w:p>
    <w:p w:rsidR="006060C3" w:rsidRDefault="006060C3" w:rsidP="006060C3">
      <w:pPr>
        <w:pStyle w:val="Heading4"/>
      </w:pPr>
      <w:r>
        <w:t>Indicative industry costs of P346</w:t>
      </w:r>
    </w:p>
    <w:p w:rsidR="006060C3" w:rsidRDefault="006060C3" w:rsidP="006060C3">
      <w:pPr>
        <w:pStyle w:val="BodyText"/>
      </w:pPr>
      <w:r w:rsidRPr="007E3061">
        <w:t xml:space="preserve">Two of the </w:t>
      </w:r>
      <w:r>
        <w:t>five</w:t>
      </w:r>
      <w:r w:rsidRPr="007E3061">
        <w:t xml:space="preserve"> consultation responses received indicated very minor costs to adapt to the new charging structure outlined in the Solution. Respondents and the Workgroup agreed that these costs are negligible and far outweighed by the benefits the change will bring. </w:t>
      </w:r>
    </w:p>
    <w:p w:rsidR="006060C3" w:rsidRDefault="006060C3" w:rsidP="006060C3">
      <w:pPr>
        <w:pStyle w:val="BodyText"/>
      </w:pPr>
      <w:r>
        <w:t xml:space="preserve">One respondent to the Report Phase Consultation indicated that the current proposed implementation date of 1 April 2017 may cause them to incur additional costs due to contract charges pre agreed for the 2017-2018 period.  </w:t>
      </w:r>
    </w:p>
    <w:p w:rsidR="006060C3" w:rsidRPr="007E3061" w:rsidRDefault="006060C3" w:rsidP="006060C3">
      <w:pPr>
        <w:pStyle w:val="BodyText"/>
      </w:pPr>
    </w:p>
    <w:p w:rsidR="006060C3" w:rsidRDefault="006060C3" w:rsidP="006060C3">
      <w:pPr>
        <w:pStyle w:val="Heading4"/>
      </w:pPr>
      <w:r>
        <w:t>P346 impacts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6060C3" w:rsidTr="00D56FFF">
        <w:trPr>
          <w:cantSplit/>
          <w:trHeight w:val="397"/>
          <w:tblHeader/>
        </w:trPr>
        <w:tc>
          <w:tcPr>
            <w:tcW w:w="8021" w:type="dxa"/>
            <w:gridSpan w:val="2"/>
            <w:tcBorders>
              <w:bottom w:val="single" w:sz="8" w:space="0" w:color="CCE0DA"/>
            </w:tcBorders>
            <w:shd w:val="clear" w:color="auto" w:fill="CCE0DA"/>
            <w:vAlign w:val="center"/>
          </w:tcPr>
          <w:p w:rsidR="006060C3" w:rsidRDefault="006060C3" w:rsidP="00D56FFF">
            <w:pPr>
              <w:pStyle w:val="TableTitle"/>
              <w:keepNext/>
            </w:pPr>
            <w:r w:rsidRPr="00801A70">
              <w:t xml:space="preserve">Impact on </w:t>
            </w:r>
            <w:r w:rsidRPr="001640A1">
              <w:t>BSC Parties and Party Agents</w:t>
            </w:r>
          </w:p>
        </w:tc>
      </w:tr>
      <w:tr w:rsidR="006060C3" w:rsidTr="00D56FFF">
        <w:trPr>
          <w:cantSplit/>
          <w:trHeight w:val="397"/>
          <w:tblHeader/>
        </w:trPr>
        <w:tc>
          <w:tcPr>
            <w:tcW w:w="2336" w:type="dxa"/>
            <w:tcBorders>
              <w:top w:val="single" w:sz="8" w:space="0" w:color="CCE0DA"/>
            </w:tcBorders>
          </w:tcPr>
          <w:p w:rsidR="006060C3" w:rsidRDefault="006060C3" w:rsidP="00D56FFF">
            <w:pPr>
              <w:pStyle w:val="TableColumnHeading"/>
              <w:keepNext/>
            </w:pPr>
            <w:r>
              <w:t>Party/Party Agent</w:t>
            </w:r>
          </w:p>
        </w:tc>
        <w:tc>
          <w:tcPr>
            <w:tcW w:w="5685" w:type="dxa"/>
            <w:tcBorders>
              <w:top w:val="single" w:sz="8" w:space="0" w:color="CCE0DA"/>
            </w:tcBorders>
          </w:tcPr>
          <w:p w:rsidR="006060C3" w:rsidRDefault="006060C3" w:rsidP="00D56FFF">
            <w:pPr>
              <w:pStyle w:val="TableColumnHeading"/>
              <w:keepNext/>
            </w:pPr>
            <w:r>
              <w:t>I</w:t>
            </w:r>
            <w:r w:rsidRPr="00801A70">
              <w:t>mpact</w:t>
            </w:r>
          </w:p>
        </w:tc>
      </w:tr>
      <w:tr w:rsidR="006060C3" w:rsidTr="00D56FFF">
        <w:trPr>
          <w:cantSplit/>
          <w:trHeight w:val="397"/>
        </w:trPr>
        <w:tc>
          <w:tcPr>
            <w:tcW w:w="2336" w:type="dxa"/>
          </w:tcPr>
          <w:p w:rsidR="006060C3" w:rsidRDefault="006060C3" w:rsidP="00D56FFF">
            <w:pPr>
              <w:pStyle w:val="TableBodyText"/>
            </w:pPr>
            <w:r>
              <w:t>Suppliers</w:t>
            </w:r>
          </w:p>
        </w:tc>
        <w:tc>
          <w:tcPr>
            <w:tcW w:w="5685" w:type="dxa"/>
          </w:tcPr>
          <w:p w:rsidR="006060C3" w:rsidRDefault="006060C3" w:rsidP="00D56FFF">
            <w:pPr>
              <w:pStyle w:val="TableBodyText"/>
            </w:pPr>
            <w:r w:rsidRPr="00973011">
              <w:t xml:space="preserve">Suppliers will be indirectly impacted due to the change in how their share of the SVA Costs is calculated. Some smaller Suppliers may find the amount payable falling below the £500 billing threshold, resulting in bills being carried forward until this threshold is breached or </w:t>
            </w:r>
            <w:r>
              <w:t xml:space="preserve">to </w:t>
            </w:r>
            <w:r w:rsidRPr="00973011">
              <w:t>the quarter ends.</w:t>
            </w:r>
            <w:r>
              <w:t xml:space="preserve"> Suppliers with charges agreed in contracts for 2017-2018 may also incur costs.</w:t>
            </w:r>
          </w:p>
        </w:tc>
      </w:tr>
    </w:tbl>
    <w:p w:rsidR="006060C3" w:rsidRDefault="006060C3" w:rsidP="006060C3">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6060C3" w:rsidTr="00D56FFF">
        <w:trPr>
          <w:cantSplit/>
          <w:trHeight w:val="397"/>
          <w:tblHeader/>
        </w:trPr>
        <w:tc>
          <w:tcPr>
            <w:tcW w:w="8021" w:type="dxa"/>
            <w:tcBorders>
              <w:bottom w:val="single" w:sz="8" w:space="0" w:color="CCE0DA"/>
            </w:tcBorders>
            <w:shd w:val="clear" w:color="auto" w:fill="CCE0DA"/>
            <w:vAlign w:val="center"/>
          </w:tcPr>
          <w:p w:rsidR="006060C3" w:rsidRPr="001640A1" w:rsidRDefault="006060C3" w:rsidP="00D56FFF">
            <w:pPr>
              <w:pStyle w:val="TableTitle"/>
              <w:keepNext/>
            </w:pPr>
            <w:r w:rsidRPr="001640A1">
              <w:t>Impact on Transmission Company</w:t>
            </w:r>
          </w:p>
        </w:tc>
      </w:tr>
      <w:tr w:rsidR="006060C3" w:rsidTr="00D56FFF">
        <w:trPr>
          <w:cantSplit/>
          <w:trHeight w:val="397"/>
        </w:trPr>
        <w:tc>
          <w:tcPr>
            <w:tcW w:w="8021" w:type="dxa"/>
          </w:tcPr>
          <w:p w:rsidR="006060C3" w:rsidRDefault="006060C3" w:rsidP="00D56FFF">
            <w:pPr>
              <w:pStyle w:val="TableBodyText"/>
            </w:pPr>
            <w:r>
              <w:t>None anticipated</w:t>
            </w:r>
          </w:p>
        </w:tc>
      </w:tr>
    </w:tbl>
    <w:p w:rsidR="006060C3" w:rsidRDefault="006060C3" w:rsidP="006060C3">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6060C3" w:rsidTr="00D56FFF">
        <w:trPr>
          <w:cantSplit/>
          <w:trHeight w:val="397"/>
          <w:tblHeader/>
        </w:trPr>
        <w:tc>
          <w:tcPr>
            <w:tcW w:w="8021" w:type="dxa"/>
            <w:tcBorders>
              <w:bottom w:val="single" w:sz="8" w:space="0" w:color="CCE0DA"/>
            </w:tcBorders>
            <w:shd w:val="clear" w:color="auto" w:fill="CCE0DA"/>
            <w:vAlign w:val="center"/>
          </w:tcPr>
          <w:p w:rsidR="006060C3" w:rsidRDefault="006060C3" w:rsidP="00D56FFF">
            <w:pPr>
              <w:pStyle w:val="TableTitle"/>
              <w:keepNext/>
            </w:pPr>
            <w:r w:rsidRPr="00801A70">
              <w:t xml:space="preserve">Impact on </w:t>
            </w:r>
            <w:proofErr w:type="spellStart"/>
            <w:r>
              <w:t>BSCCo</w:t>
            </w:r>
            <w:proofErr w:type="spellEnd"/>
          </w:p>
        </w:tc>
      </w:tr>
      <w:tr w:rsidR="006060C3" w:rsidTr="00D56FFF">
        <w:trPr>
          <w:cantSplit/>
          <w:trHeight w:val="397"/>
        </w:trPr>
        <w:tc>
          <w:tcPr>
            <w:tcW w:w="8021" w:type="dxa"/>
          </w:tcPr>
          <w:p w:rsidR="006060C3" w:rsidRDefault="006060C3" w:rsidP="00D56FFF">
            <w:pPr>
              <w:pStyle w:val="TableBodyText"/>
            </w:pPr>
            <w:r>
              <w:t>Non anticipated</w:t>
            </w:r>
          </w:p>
        </w:tc>
      </w:tr>
    </w:tbl>
    <w:p w:rsidR="006060C3" w:rsidRDefault="006060C3" w:rsidP="006060C3">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6060C3" w:rsidTr="00D56FFF">
        <w:trPr>
          <w:cantSplit/>
          <w:trHeight w:val="397"/>
          <w:tblHeader/>
        </w:trPr>
        <w:tc>
          <w:tcPr>
            <w:tcW w:w="8021" w:type="dxa"/>
            <w:gridSpan w:val="2"/>
            <w:tcBorders>
              <w:bottom w:val="single" w:sz="8" w:space="0" w:color="CCE0DA"/>
            </w:tcBorders>
            <w:shd w:val="clear" w:color="auto" w:fill="CCE0DA"/>
            <w:vAlign w:val="center"/>
          </w:tcPr>
          <w:p w:rsidR="006060C3" w:rsidRDefault="006060C3" w:rsidP="00D56FFF">
            <w:pPr>
              <w:pStyle w:val="TableTitle"/>
              <w:keepNext/>
            </w:pPr>
            <w:r w:rsidRPr="00F25CED">
              <w:t>Impact on BSC Systems and process</w:t>
            </w:r>
          </w:p>
        </w:tc>
      </w:tr>
      <w:tr w:rsidR="006060C3" w:rsidTr="00D56FFF">
        <w:trPr>
          <w:cantSplit/>
          <w:trHeight w:val="397"/>
          <w:tblHeader/>
        </w:trPr>
        <w:tc>
          <w:tcPr>
            <w:tcW w:w="2336" w:type="dxa"/>
            <w:tcBorders>
              <w:top w:val="single" w:sz="8" w:space="0" w:color="CCE0DA"/>
            </w:tcBorders>
          </w:tcPr>
          <w:p w:rsidR="006060C3" w:rsidRDefault="006060C3" w:rsidP="00D56FFF">
            <w:pPr>
              <w:pStyle w:val="TableColumnHeading"/>
              <w:keepNext/>
            </w:pPr>
            <w:r w:rsidRPr="00F25CED">
              <w:t>BSC System/Process</w:t>
            </w:r>
          </w:p>
        </w:tc>
        <w:tc>
          <w:tcPr>
            <w:tcW w:w="5685" w:type="dxa"/>
            <w:tcBorders>
              <w:top w:val="single" w:sz="8" w:space="0" w:color="CCE0DA"/>
            </w:tcBorders>
          </w:tcPr>
          <w:p w:rsidR="006060C3" w:rsidRDefault="006060C3" w:rsidP="00D56FFF">
            <w:pPr>
              <w:pStyle w:val="TableColumnHeading"/>
              <w:keepNext/>
            </w:pPr>
            <w:r>
              <w:t>I</w:t>
            </w:r>
            <w:r w:rsidRPr="00F25CED">
              <w:t>mpact</w:t>
            </w:r>
          </w:p>
        </w:tc>
      </w:tr>
      <w:tr w:rsidR="006060C3" w:rsidTr="00D56FFF">
        <w:trPr>
          <w:cantSplit/>
          <w:trHeight w:val="397"/>
        </w:trPr>
        <w:tc>
          <w:tcPr>
            <w:tcW w:w="2336" w:type="dxa"/>
          </w:tcPr>
          <w:p w:rsidR="006060C3" w:rsidRDefault="006060C3" w:rsidP="00D56FFF">
            <w:pPr>
              <w:pStyle w:val="TableBodyText"/>
            </w:pPr>
            <w:r>
              <w:t>Funding Share System (FSS)</w:t>
            </w:r>
          </w:p>
        </w:tc>
        <w:tc>
          <w:tcPr>
            <w:tcW w:w="5685" w:type="dxa"/>
          </w:tcPr>
          <w:p w:rsidR="006060C3" w:rsidRDefault="006060C3" w:rsidP="00D56FFF">
            <w:pPr>
              <w:pStyle w:val="TableBodyText"/>
            </w:pPr>
            <w:r>
              <w:t>Changes are required to FSS to remove the existing SVA (Consumption) Funding Share Provision and amend the PARMS query to use both HH and NHH, and to implement the new SVA Specified Charges equation.</w:t>
            </w:r>
          </w:p>
        </w:tc>
      </w:tr>
    </w:tbl>
    <w:p w:rsidR="006060C3" w:rsidRDefault="006060C3" w:rsidP="006060C3">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6060C3" w:rsidTr="00D56FFF">
        <w:trPr>
          <w:cantSplit/>
          <w:trHeight w:val="397"/>
          <w:tblHeader/>
        </w:trPr>
        <w:tc>
          <w:tcPr>
            <w:tcW w:w="8021" w:type="dxa"/>
            <w:gridSpan w:val="2"/>
            <w:tcBorders>
              <w:bottom w:val="single" w:sz="8" w:space="0" w:color="CCE0DA"/>
            </w:tcBorders>
            <w:shd w:val="clear" w:color="auto" w:fill="CCE0DA"/>
            <w:vAlign w:val="center"/>
          </w:tcPr>
          <w:p w:rsidR="006060C3" w:rsidRPr="002A0F08" w:rsidRDefault="006060C3" w:rsidP="00D56FFF">
            <w:pPr>
              <w:pStyle w:val="TableTitle"/>
              <w:keepNext/>
            </w:pPr>
            <w:r w:rsidRPr="002A0F08">
              <w:lastRenderedPageBreak/>
              <w:t>Impact on Code</w:t>
            </w:r>
          </w:p>
        </w:tc>
      </w:tr>
      <w:tr w:rsidR="006060C3" w:rsidTr="00D56FFF">
        <w:trPr>
          <w:cantSplit/>
          <w:trHeight w:val="397"/>
          <w:tblHeader/>
        </w:trPr>
        <w:tc>
          <w:tcPr>
            <w:tcW w:w="2336" w:type="dxa"/>
            <w:tcBorders>
              <w:top w:val="single" w:sz="8" w:space="0" w:color="CCE0DA"/>
            </w:tcBorders>
          </w:tcPr>
          <w:p w:rsidR="006060C3" w:rsidRPr="002A0F08" w:rsidRDefault="006060C3" w:rsidP="00D56FFF">
            <w:pPr>
              <w:pStyle w:val="TableColumnHeading"/>
              <w:keepNext/>
            </w:pPr>
            <w:r w:rsidRPr="002A0F08">
              <w:t xml:space="preserve">Code </w:t>
            </w:r>
            <w:r>
              <w:t>S</w:t>
            </w:r>
            <w:r w:rsidRPr="002A0F08">
              <w:t>ection</w:t>
            </w:r>
          </w:p>
        </w:tc>
        <w:tc>
          <w:tcPr>
            <w:tcW w:w="5685" w:type="dxa"/>
            <w:tcBorders>
              <w:top w:val="single" w:sz="8" w:space="0" w:color="CCE0DA"/>
            </w:tcBorders>
          </w:tcPr>
          <w:p w:rsidR="006060C3" w:rsidRDefault="006060C3" w:rsidP="00D56FFF">
            <w:pPr>
              <w:pStyle w:val="TableColumnHeading"/>
              <w:keepNext/>
            </w:pPr>
            <w:r>
              <w:t>I</w:t>
            </w:r>
            <w:r w:rsidRPr="00801A70">
              <w:t>mpact</w:t>
            </w:r>
          </w:p>
        </w:tc>
      </w:tr>
      <w:tr w:rsidR="006060C3" w:rsidTr="00D56FFF">
        <w:trPr>
          <w:cantSplit/>
          <w:trHeight w:val="397"/>
        </w:trPr>
        <w:tc>
          <w:tcPr>
            <w:tcW w:w="2336" w:type="dxa"/>
          </w:tcPr>
          <w:p w:rsidR="006060C3" w:rsidRDefault="006060C3" w:rsidP="00D56FFF">
            <w:pPr>
              <w:pStyle w:val="TableBodyText"/>
            </w:pPr>
            <w:r w:rsidRPr="00652E17">
              <w:t>Section D</w:t>
            </w:r>
          </w:p>
          <w:p w:rsidR="006060C3" w:rsidRDefault="006060C3" w:rsidP="00D56FFF">
            <w:pPr>
              <w:pStyle w:val="TableBodyText"/>
            </w:pPr>
            <w:r>
              <w:t>Section X Annex X-1</w:t>
            </w:r>
          </w:p>
          <w:p w:rsidR="006060C3" w:rsidRDefault="006060C3" w:rsidP="00D56FFF">
            <w:pPr>
              <w:pStyle w:val="TableBodyText"/>
            </w:pPr>
            <w:r>
              <w:t>Section X Annex X-2</w:t>
            </w:r>
          </w:p>
        </w:tc>
        <w:tc>
          <w:tcPr>
            <w:tcW w:w="5685" w:type="dxa"/>
          </w:tcPr>
          <w:p w:rsidR="006060C3" w:rsidRDefault="006060C3" w:rsidP="00D56FFF">
            <w:pPr>
              <w:pStyle w:val="TableBodyText"/>
            </w:pPr>
            <w:r>
              <w:t>Changes will be required to deliver the proposed solution.</w:t>
            </w:r>
          </w:p>
          <w:p w:rsidR="006060C3" w:rsidRDefault="006060C3" w:rsidP="00D56FFF">
            <w:pPr>
              <w:pStyle w:val="TableBodyText"/>
            </w:pPr>
            <w:r w:rsidRPr="00477E4E">
              <w:rPr>
                <w:i/>
              </w:rPr>
              <w:t>The proposed changes can be found in Attachment A.</w:t>
            </w:r>
          </w:p>
        </w:tc>
      </w:tr>
    </w:tbl>
    <w:p w:rsidR="007D0D66" w:rsidRDefault="007D0D66" w:rsidP="00661737">
      <w:pPr>
        <w:pStyle w:val="BodyText"/>
      </w:pPr>
    </w:p>
    <w:p w:rsidR="007D0D66" w:rsidRDefault="007D0D66" w:rsidP="00661737">
      <w:pPr>
        <w:pStyle w:val="BodyText"/>
      </w:pPr>
    </w:p>
    <w:p w:rsidR="007D0D66" w:rsidRDefault="007D0D66" w:rsidP="007D0D66">
      <w:pPr>
        <w:sectPr w:rsidR="007D0D66" w:rsidSect="00526E7D">
          <w:headerReference w:type="even" r:id="rId31"/>
          <w:headerReference w:type="default" r:id="rId32"/>
          <w:headerReference w:type="first" r:id="rId33"/>
          <w:footerReference w:type="first" r:id="rId34"/>
          <w:pgSz w:w="11906" w:h="16838" w:code="9"/>
          <w:pgMar w:top="567" w:right="2722" w:bottom="567" w:left="1134" w:header="284" w:footer="284" w:gutter="0"/>
          <w:cols w:space="708"/>
          <w:titlePg/>
          <w:docGrid w:linePitch="360"/>
        </w:sectPr>
      </w:pPr>
    </w:p>
    <w:p w:rsidR="00DB536D" w:rsidRDefault="00DB536D" w:rsidP="008F65A0">
      <w:pPr>
        <w:pStyle w:val="Heading8"/>
        <w:pageBreakBefore/>
        <w:ind w:right="198"/>
      </w:pPr>
      <w:bookmarkStart w:id="5" w:name="_Toc467066300"/>
      <w:r w:rsidRPr="00D45E4C">
        <w:lastRenderedPageBreak/>
        <w:t>Implementation</w:t>
      </w:r>
      <w:bookmarkEnd w:id="5"/>
      <w:r>
        <w:t xml:space="preserve"> </w:t>
      </w:r>
    </w:p>
    <w:p w:rsidR="000E7277" w:rsidRPr="00473CB8" w:rsidRDefault="000E7277" w:rsidP="000E7277">
      <w:pPr>
        <w:keepNext/>
        <w:spacing w:before="120" w:after="120"/>
        <w:outlineLvl w:val="3"/>
        <w:rPr>
          <w:b/>
          <w:bCs/>
          <w:color w:val="008576"/>
          <w:sz w:val="24"/>
          <w:szCs w:val="28"/>
        </w:rPr>
      </w:pPr>
      <w:r w:rsidRPr="00473CB8">
        <w:rPr>
          <w:b/>
          <w:bCs/>
          <w:color w:val="008576"/>
          <w:sz w:val="24"/>
          <w:szCs w:val="28"/>
        </w:rPr>
        <w:t>Recommended Implementation Date</w:t>
      </w:r>
    </w:p>
    <w:p w:rsidR="000E7277" w:rsidRPr="00473CB8" w:rsidRDefault="000E7277" w:rsidP="000E7277">
      <w:pPr>
        <w:spacing w:after="180"/>
      </w:pPr>
      <w:r w:rsidRPr="00473CB8">
        <w:t>The Workgroup recommends the follo</w:t>
      </w:r>
      <w:r>
        <w:t>wing Implementation Date if P346</w:t>
      </w:r>
      <w:r w:rsidRPr="00473CB8">
        <w:t xml:space="preserve"> is approved as Self-Governance:</w:t>
      </w:r>
    </w:p>
    <w:p w:rsidR="000E7277" w:rsidRPr="00473CB8" w:rsidRDefault="000E7277" w:rsidP="000E7277">
      <w:pPr>
        <w:numPr>
          <w:ilvl w:val="0"/>
          <w:numId w:val="37"/>
        </w:numPr>
        <w:spacing w:after="180"/>
        <w:ind w:left="714" w:hanging="357"/>
      </w:pPr>
      <w:r>
        <w:rPr>
          <w:b/>
        </w:rPr>
        <w:t>1 April 2017</w:t>
      </w:r>
      <w:r w:rsidRPr="00473CB8">
        <w:t xml:space="preserve"> as part of </w:t>
      </w:r>
      <w:r>
        <w:t>a standalone April 2017 BSC</w:t>
      </w:r>
      <w:r w:rsidRPr="00473CB8">
        <w:t xml:space="preserve"> Release.</w:t>
      </w:r>
    </w:p>
    <w:p w:rsidR="000E7277" w:rsidRPr="00473CB8" w:rsidRDefault="000E7277" w:rsidP="000E7277">
      <w:pPr>
        <w:spacing w:after="180"/>
      </w:pPr>
      <w:r w:rsidRPr="00473CB8">
        <w:t>If not Self-Governance</w:t>
      </w:r>
      <w:r>
        <w:t>,</w:t>
      </w:r>
      <w:r w:rsidRPr="00473CB8">
        <w:t xml:space="preserve"> the Workgroup recommends an Implementation Date of:</w:t>
      </w:r>
    </w:p>
    <w:p w:rsidR="000E7277" w:rsidRPr="00473CB8" w:rsidRDefault="000E7277" w:rsidP="000E7277">
      <w:pPr>
        <w:numPr>
          <w:ilvl w:val="0"/>
          <w:numId w:val="37"/>
        </w:numPr>
        <w:spacing w:after="180"/>
        <w:ind w:left="714" w:hanging="357"/>
      </w:pPr>
      <w:r>
        <w:rPr>
          <w:b/>
        </w:rPr>
        <w:t>1 April 2017</w:t>
      </w:r>
      <w:r w:rsidRPr="00473CB8">
        <w:t xml:space="preserve"> as part of </w:t>
      </w:r>
      <w:r>
        <w:t>a standalone April 2017 BSC</w:t>
      </w:r>
      <w:r w:rsidRPr="00473CB8">
        <w:t xml:space="preserve"> Release.</w:t>
      </w:r>
      <w:r>
        <w:t xml:space="preserve"> I</w:t>
      </w:r>
      <w:r w:rsidRPr="00473CB8">
        <w:t xml:space="preserve">f an Authority decision is received on or before </w:t>
      </w:r>
      <w:r w:rsidRPr="00473CB8">
        <w:rPr>
          <w:b/>
        </w:rPr>
        <w:t xml:space="preserve">1 </w:t>
      </w:r>
      <w:r>
        <w:rPr>
          <w:b/>
        </w:rPr>
        <w:t>December 2016</w:t>
      </w:r>
      <w:r w:rsidRPr="00473CB8">
        <w:t>.</w:t>
      </w:r>
    </w:p>
    <w:p w:rsidR="000E7277" w:rsidRDefault="000E7277" w:rsidP="000E7277">
      <w:pPr>
        <w:spacing w:after="180"/>
      </w:pPr>
      <w:r w:rsidRPr="00473CB8">
        <w:t>The Workgroup originally recomme</w:t>
      </w:r>
      <w:r>
        <w:t>nded an Implementation Date of 23</w:t>
      </w:r>
      <w:r w:rsidRPr="00473CB8">
        <w:t xml:space="preserve"> </w:t>
      </w:r>
      <w:r>
        <w:t>February 2017</w:t>
      </w:r>
      <w:r w:rsidRPr="00473CB8">
        <w:t>. However, due</w:t>
      </w:r>
      <w:r>
        <w:t xml:space="preserve"> to the estimated time required for systems changes and the requirement to align implementation with the start of the new financial year, </w:t>
      </w:r>
      <w:r w:rsidRPr="00473CB8">
        <w:t xml:space="preserve">the Workgroup agreed that an Implementation Date of </w:t>
      </w:r>
      <w:r>
        <w:t xml:space="preserve">23 February 2017 was no longer appropriate.    </w:t>
      </w:r>
    </w:p>
    <w:p w:rsidR="000E7277" w:rsidRDefault="000E7277" w:rsidP="000E7277">
      <w:pPr>
        <w:pStyle w:val="BodyText"/>
      </w:pPr>
      <w:r>
        <w:t xml:space="preserve">The Panel </w:t>
      </w:r>
      <w:r w:rsidRPr="0011314E">
        <w:t>unanimously</w:t>
      </w:r>
      <w:r>
        <w:t xml:space="preserve"> agree with the Workgroup’s recommended Implementation Date.</w:t>
      </w:r>
    </w:p>
    <w:p w:rsidR="000E7277" w:rsidRPr="00473CB8" w:rsidRDefault="000E7277" w:rsidP="000E7277">
      <w:pPr>
        <w:keepNext/>
        <w:spacing w:before="120" w:after="120"/>
        <w:outlineLvl w:val="4"/>
        <w:rPr>
          <w:b/>
          <w:bCs/>
          <w:color w:val="943634" w:themeColor="accent2" w:themeShade="BF"/>
          <w:sz w:val="21"/>
          <w:szCs w:val="21"/>
        </w:rPr>
      </w:pPr>
      <w:r w:rsidRPr="00473CB8">
        <w:rPr>
          <w:b/>
          <w:bCs/>
          <w:color w:val="943634" w:themeColor="accent2" w:themeShade="BF"/>
          <w:sz w:val="21"/>
          <w:szCs w:val="21"/>
        </w:rPr>
        <w:t>Consideration of industry views on the implementation of P3</w:t>
      </w:r>
      <w:r>
        <w:rPr>
          <w:b/>
          <w:bCs/>
          <w:color w:val="943634" w:themeColor="accent2" w:themeShade="BF"/>
          <w:sz w:val="21"/>
          <w:szCs w:val="21"/>
        </w:rPr>
        <w:t>46</w:t>
      </w:r>
    </w:p>
    <w:p w:rsidR="000E7277" w:rsidRPr="00473CB8" w:rsidRDefault="000E7277" w:rsidP="000E7277">
      <w:pPr>
        <w:spacing w:after="180"/>
      </w:pPr>
      <w:r w:rsidRPr="00473CB8">
        <w:t>The Workgroup issued the P3</w:t>
      </w:r>
      <w:r>
        <w:t>46</w:t>
      </w:r>
      <w:r w:rsidRPr="00473CB8">
        <w:t xml:space="preserve"> Assessment Procedure Consultation with a recommended Implementation Date of </w:t>
      </w:r>
      <w:r>
        <w:t>23 February 2017</w:t>
      </w:r>
      <w:r w:rsidRPr="00473CB8">
        <w:t xml:space="preserve">. </w:t>
      </w:r>
    </w:p>
    <w:p w:rsidR="000E7277" w:rsidRPr="00473CB8" w:rsidRDefault="000E7277" w:rsidP="000E7277">
      <w:pPr>
        <w:spacing w:after="180"/>
      </w:pPr>
      <w:r>
        <w:t>Four</w:t>
      </w:r>
      <w:r w:rsidRPr="00473CB8">
        <w:t xml:space="preserve"> of the </w:t>
      </w:r>
      <w:r>
        <w:t>five</w:t>
      </w:r>
      <w:r w:rsidRPr="00473CB8">
        <w:t xml:space="preserve"> consultation respondents agreed with the proposed date noting that there should be minimal impact on the industry and that the date should be achievable. One res</w:t>
      </w:r>
      <w:r>
        <w:t xml:space="preserve">pondent provided a neutral view expressing a desire for publication of estimates of the charges before the end of 2016. </w:t>
      </w:r>
    </w:p>
    <w:p w:rsidR="000E7277" w:rsidRDefault="000E7277" w:rsidP="000E7277">
      <w:pPr>
        <w:spacing w:after="180"/>
      </w:pPr>
      <w:r w:rsidRPr="00473CB8">
        <w:t>The Workgroup considered the vi</w:t>
      </w:r>
      <w:r>
        <w:t xml:space="preserve">ews put forward by respondents. </w:t>
      </w:r>
      <w:r w:rsidRPr="00473CB8">
        <w:t xml:space="preserve">The Workgroup </w:t>
      </w:r>
      <w:r>
        <w:t xml:space="preserve">unanimously agreed that it was appropriate to implement P346 at the start of a new financial year on 1 April 2017. Estimation of the potential charges is included within Section 6 of this document and the Panel approves the next year’s budget publicly before each new financial year. </w:t>
      </w:r>
    </w:p>
    <w:p w:rsidR="000E7277" w:rsidRDefault="000E7277" w:rsidP="000E7277">
      <w:pPr>
        <w:spacing w:after="180"/>
      </w:pPr>
      <w:r>
        <w:t>One respondent to the Report Phase Consultation advised that the suggested implementation date may incur unplanned costs as they have already agreed charges in contracts for 2017-2018.</w:t>
      </w:r>
    </w:p>
    <w:p w:rsidR="000E7277" w:rsidRPr="00473CB8" w:rsidRDefault="000E7277" w:rsidP="000E7277">
      <w:pPr>
        <w:spacing w:after="180"/>
      </w:pPr>
    </w:p>
    <w:p w:rsidR="000E7277" w:rsidRPr="00473CB8" w:rsidRDefault="000E7277" w:rsidP="000E7277">
      <w:pPr>
        <w:keepNext/>
        <w:spacing w:before="120" w:after="120"/>
        <w:outlineLvl w:val="3"/>
        <w:rPr>
          <w:b/>
          <w:bCs/>
          <w:color w:val="008576"/>
          <w:sz w:val="24"/>
          <w:szCs w:val="28"/>
        </w:rPr>
      </w:pPr>
      <w:r w:rsidRPr="00473CB8">
        <w:rPr>
          <w:b/>
          <w:bCs/>
          <w:color w:val="008576"/>
          <w:sz w:val="24"/>
          <w:szCs w:val="28"/>
        </w:rPr>
        <w:t>Self-Governance appeal window</w:t>
      </w:r>
    </w:p>
    <w:p w:rsidR="000E7277" w:rsidRPr="00473CB8" w:rsidRDefault="000E7277" w:rsidP="000E7277">
      <w:pPr>
        <w:spacing w:after="180"/>
      </w:pPr>
      <w:r w:rsidRPr="00473CB8">
        <w:t>The Workgroup is rec</w:t>
      </w:r>
      <w:r>
        <w:t>ommending to the Panel that P346</w:t>
      </w:r>
      <w:r w:rsidRPr="00473CB8">
        <w:t xml:space="preserve"> be treated as a Self-Governance Modification Proposal. </w:t>
      </w:r>
      <w:r>
        <w:t xml:space="preserve">. P346 was approved by the BSC Panel at its </w:t>
      </w:r>
      <w:r w:rsidRPr="00224052">
        <w:t xml:space="preserve">meeting </w:t>
      </w:r>
      <w:r>
        <w:t>o</w:t>
      </w:r>
      <w:r w:rsidRPr="00224052">
        <w:t xml:space="preserve">n </w:t>
      </w:r>
      <w:r>
        <w:t>10 November 2016 and, therefore,</w:t>
      </w:r>
      <w:r w:rsidRPr="00224052">
        <w:t xml:space="preserve"> it will be subject to a 15 Working Day appeal window, which w</w:t>
      </w:r>
      <w:r>
        <w:t>ill</w:t>
      </w:r>
      <w:r w:rsidRPr="00224052">
        <w:t xml:space="preserve"> close on </w:t>
      </w:r>
      <w:r>
        <w:t>1 December 2016</w:t>
      </w:r>
      <w:r w:rsidRPr="00224052">
        <w:t>.</w:t>
      </w:r>
      <w:r w:rsidRPr="00473CB8">
        <w:t xml:space="preserve"> </w:t>
      </w:r>
    </w:p>
    <w:p w:rsidR="007D0D66" w:rsidRDefault="000E7277" w:rsidP="000E7277">
      <w:pPr>
        <w:pStyle w:val="BodyText"/>
      </w:pPr>
      <w:r w:rsidRPr="00473CB8">
        <w:t xml:space="preserve">If an appeal is received, the implementation of the Modification will be suspended and the appeal tabled at the next available Panel meeting. In the case of this Modification this would be on 12 </w:t>
      </w:r>
      <w:r>
        <w:t>January 2017</w:t>
      </w:r>
      <w:r w:rsidRPr="00473CB8">
        <w:t xml:space="preserve">. If no appeals are received, the Panel will be advised and the Modification will be implemented on </w:t>
      </w:r>
      <w:r>
        <w:t>1 April 2017 as part of a standalone BSC Release</w:t>
      </w:r>
      <w:r w:rsidRPr="00473CB8">
        <w:t>.</w:t>
      </w:r>
    </w:p>
    <w:p w:rsidR="007D0D66" w:rsidRDefault="007D0D66" w:rsidP="007D0D66">
      <w:pPr>
        <w:pStyle w:val="BodyText"/>
        <w:sectPr w:rsidR="007D0D66" w:rsidSect="00526E7D">
          <w:headerReference w:type="first" r:id="rId35"/>
          <w:footerReference w:type="first" r:id="rId36"/>
          <w:pgSz w:w="11906" w:h="16838" w:code="9"/>
          <w:pgMar w:top="567" w:right="2722" w:bottom="567" w:left="1134" w:header="284" w:footer="284" w:gutter="0"/>
          <w:cols w:space="708"/>
          <w:titlePg/>
          <w:docGrid w:linePitch="360"/>
        </w:sectPr>
      </w:pPr>
    </w:p>
    <w:p w:rsidR="00DB536D" w:rsidRDefault="007D0D66" w:rsidP="007D0D66">
      <w:pPr>
        <w:pStyle w:val="Heading8"/>
        <w:ind w:right="198"/>
      </w:pPr>
      <w:bookmarkStart w:id="6" w:name="_Toc467066301"/>
      <w:r>
        <w:lastRenderedPageBreak/>
        <w:t>Workgroup’s Discussions</w:t>
      </w:r>
      <w:bookmarkEnd w:id="6"/>
    </w:p>
    <w:p w:rsidR="000E7277" w:rsidRPr="006577D4" w:rsidRDefault="000E7277" w:rsidP="000E7277">
      <w:pPr>
        <w:keepNext/>
        <w:spacing w:before="120" w:after="120"/>
        <w:outlineLvl w:val="3"/>
        <w:rPr>
          <w:b/>
          <w:bCs/>
          <w:color w:val="008576"/>
          <w:sz w:val="24"/>
          <w:szCs w:val="28"/>
        </w:rPr>
      </w:pPr>
      <w:r w:rsidRPr="006577D4">
        <w:rPr>
          <w:b/>
          <w:bCs/>
          <w:color w:val="008576"/>
          <w:sz w:val="24"/>
          <w:szCs w:val="28"/>
        </w:rPr>
        <w:t xml:space="preserve">What are the possible solutions and what advantages / disadvantages do they have?  </w:t>
      </w:r>
    </w:p>
    <w:p w:rsidR="000E7277" w:rsidRDefault="000E7277" w:rsidP="000E7277">
      <w:pPr>
        <w:spacing w:after="180"/>
      </w:pPr>
      <w:r w:rsidRPr="006577D4">
        <w:t>The Workgroup discussed the</w:t>
      </w:r>
      <w:r w:rsidRPr="00B029D2">
        <w:t xml:space="preserve"> initial </w:t>
      </w:r>
      <w:proofErr w:type="gramStart"/>
      <w:r>
        <w:t>Proposed</w:t>
      </w:r>
      <w:proofErr w:type="gramEnd"/>
      <w:r>
        <w:t xml:space="preserve"> </w:t>
      </w:r>
      <w:r w:rsidRPr="00B029D2">
        <w:t>solution</w:t>
      </w:r>
      <w:r>
        <w:t xml:space="preserve"> from the time of raising the Modification, along with a potential Alternative solution discussed by the Workgroup</w:t>
      </w:r>
      <w:r w:rsidRPr="006577D4">
        <w:t>:</w:t>
      </w:r>
    </w:p>
    <w:p w:rsidR="000E7277" w:rsidRPr="006577D4" w:rsidRDefault="000E7277" w:rsidP="000E7277">
      <w:pPr>
        <w:pStyle w:val="Heading5"/>
      </w:pPr>
      <w:r>
        <w:t>Initial Proposed solution (at time of raising Modification)</w:t>
      </w:r>
    </w:p>
    <w:p w:rsidR="000E7277" w:rsidRDefault="000E7277" w:rsidP="000E7277">
      <w:pPr>
        <w:spacing w:after="180"/>
        <w:ind w:left="360"/>
      </w:pPr>
      <w:r w:rsidRPr="006577D4">
        <w:t>Charge HH sites in Measurement Class C as they are currently (using the SVA Specified Charge) but charging sites in Measurement Classes “E”, “F” and “G” through the NHH method (using the SVA (Consumption) Funding Share). This would have the effect of applying the same charges going forward as have been historically.</w:t>
      </w:r>
    </w:p>
    <w:p w:rsidR="000E7277" w:rsidRPr="006577D4" w:rsidRDefault="000E7277" w:rsidP="000E7277">
      <w:pPr>
        <w:pStyle w:val="Heading5"/>
      </w:pPr>
      <w:r>
        <w:t>Potential Alternative solution (as discussed by the Workgroup)</w:t>
      </w:r>
    </w:p>
    <w:p w:rsidR="000E7277" w:rsidRPr="006577D4" w:rsidRDefault="000E7277" w:rsidP="000E7277">
      <w:pPr>
        <w:spacing w:after="180"/>
        <w:ind w:left="360"/>
      </w:pPr>
      <w:r w:rsidRPr="006577D4">
        <w:t>Create a new SVA Specified Charge to reflect the different customer types in the HH market. There would be one tariff applied to Measurement Class “C” and a separate new tariff for Measurement Classes “E”, “F” and “G”. This method would reflect that the demands on the SVA systems are not the same, reducing the cost to Suppliers if they wish to promote the HH market to their customers.</w:t>
      </w:r>
    </w:p>
    <w:p w:rsidR="000E7277" w:rsidRPr="006577D4" w:rsidRDefault="000E7277" w:rsidP="000E7277">
      <w:pPr>
        <w:spacing w:after="180"/>
      </w:pPr>
      <w:r w:rsidRPr="006577D4">
        <w:t>The Workgroup questioned i</w:t>
      </w:r>
      <w:r>
        <w:t>f there was a risk that the Initial Proposed solution</w:t>
      </w:r>
      <w:r w:rsidRPr="006577D4">
        <w:t xml:space="preserve"> could create </w:t>
      </w:r>
      <w:r>
        <w:t>inequality</w:t>
      </w:r>
      <w:r w:rsidRPr="006577D4">
        <w:t>, making it more expensive for smaller sites. For example a Profile Class 5 site could have lower consumption than a Profile Class 3-4 site. In discussion this was thought to be unlikely as they would pay the same amount as when they were NHH, and, under this volume-based methodology, a smaller site would pay less than a larger site. Further, although the costs might change for particular consumers, relative to under the current rules, it wo</w:t>
      </w:r>
      <w:r>
        <w:t>uld help to remove barriers to E</w:t>
      </w:r>
      <w:r w:rsidRPr="006577D4">
        <w:t>lective HH</w:t>
      </w:r>
      <w:r>
        <w:t xml:space="preserve"> </w:t>
      </w:r>
      <w:r w:rsidRPr="006577D4">
        <w:t>S</w:t>
      </w:r>
      <w:r>
        <w:t>ettlement</w:t>
      </w:r>
      <w:r w:rsidRPr="006577D4">
        <w:t xml:space="preserve">, giving consumers new options.  </w:t>
      </w:r>
    </w:p>
    <w:p w:rsidR="000E7277" w:rsidRPr="006577D4" w:rsidRDefault="000E7277" w:rsidP="000E7277">
      <w:pPr>
        <w:spacing w:after="180"/>
      </w:pPr>
      <w:r w:rsidRPr="006577D4">
        <w:t xml:space="preserve">The Workgroup believed that </w:t>
      </w:r>
      <w:r>
        <w:t>the potential Alternate solution</w:t>
      </w:r>
      <w:r w:rsidRPr="006577D4">
        <w:t xml:space="preserve"> would add additional complexity to the Charging Methodology and this would not increase efficiency in the BSC arrangements.</w:t>
      </w:r>
    </w:p>
    <w:p w:rsidR="000E7277" w:rsidRPr="006577D4" w:rsidRDefault="000E7277" w:rsidP="000E7277">
      <w:pPr>
        <w:spacing w:after="180"/>
      </w:pPr>
      <w:r w:rsidRPr="006577D4">
        <w:t xml:space="preserve">The Workgroup agreed that </w:t>
      </w:r>
      <w:r>
        <w:t xml:space="preserve">the initial </w:t>
      </w:r>
      <w:proofErr w:type="gramStart"/>
      <w:r>
        <w:t>Proposed</w:t>
      </w:r>
      <w:proofErr w:type="gramEnd"/>
      <w:r>
        <w:t xml:space="preserve"> solution</w:t>
      </w:r>
      <w:r w:rsidRPr="006577D4">
        <w:t xml:space="preserve"> was more optimal than </w:t>
      </w:r>
      <w:r>
        <w:t>the potential Alternative solution,</w:t>
      </w:r>
      <w:r w:rsidRPr="006577D4">
        <w:t xml:space="preserve"> as creating a new tariff for Measurement Classes “E” “F” &amp; “G” was more subjective.</w:t>
      </w:r>
    </w:p>
    <w:p w:rsidR="000E7277" w:rsidRPr="006577D4" w:rsidRDefault="000E7277" w:rsidP="000E7277">
      <w:pPr>
        <w:spacing w:after="180"/>
      </w:pPr>
    </w:p>
    <w:p w:rsidR="000E7277" w:rsidRPr="006577D4" w:rsidRDefault="000E7277" w:rsidP="000E7277">
      <w:pPr>
        <w:keepNext/>
        <w:spacing w:before="120" w:after="120"/>
        <w:outlineLvl w:val="4"/>
        <w:rPr>
          <w:b/>
          <w:bCs/>
          <w:color w:val="943634" w:themeColor="accent2" w:themeShade="BF"/>
          <w:sz w:val="21"/>
          <w:szCs w:val="21"/>
        </w:rPr>
      </w:pPr>
      <w:r w:rsidRPr="006577D4">
        <w:rPr>
          <w:b/>
          <w:bCs/>
          <w:color w:val="943634" w:themeColor="accent2" w:themeShade="BF"/>
          <w:sz w:val="21"/>
          <w:szCs w:val="21"/>
        </w:rPr>
        <w:t>Rationale for the Specific Charging structure</w:t>
      </w:r>
    </w:p>
    <w:p w:rsidR="000E7277" w:rsidRPr="006577D4" w:rsidRDefault="000E7277" w:rsidP="000E7277">
      <w:pPr>
        <w:spacing w:after="180"/>
      </w:pPr>
      <w:r w:rsidRPr="006577D4">
        <w:t xml:space="preserve">The Workgroup discussed the reasons behind the current Specific Charging structure. It was established that it was a historical decision based on data collection costs for different Measurement Classes, with infrastructure and other costs included. The intention was to resolve the issues caused by significant numbers of Meters being settled as NHH. </w:t>
      </w:r>
    </w:p>
    <w:p w:rsidR="000E7277" w:rsidRPr="006577D4" w:rsidRDefault="000E7277" w:rsidP="000E7277">
      <w:pPr>
        <w:spacing w:after="180"/>
      </w:pPr>
      <w:r w:rsidRPr="006577D4">
        <w:t xml:space="preserve">A Workgroup member asked how much was recovered annually through the SVA Specified Charge. ELEXON confirmed that in the current BSC Year it was £4.5million. This was split 50/50 between Production and Consumption SVA costs and then allocated via the relevant Funding Shares. </w:t>
      </w:r>
    </w:p>
    <w:p w:rsidR="000E7277" w:rsidRPr="006577D4" w:rsidRDefault="000E7277" w:rsidP="000E7277">
      <w:pPr>
        <w:spacing w:after="180"/>
      </w:pPr>
      <w:r w:rsidRPr="006577D4">
        <w:t xml:space="preserve">A Workgroup member suggested that there was no rationale for the current structure unless different costs were incurred. </w:t>
      </w:r>
    </w:p>
    <w:p w:rsidR="000E7277" w:rsidRPr="006577D4" w:rsidRDefault="000E7277" w:rsidP="000E7277">
      <w:pPr>
        <w:spacing w:after="180"/>
      </w:pPr>
    </w:p>
    <w:p w:rsidR="000E7277" w:rsidRPr="006577D4" w:rsidRDefault="000E7277" w:rsidP="000E7277">
      <w:pPr>
        <w:keepNext/>
        <w:spacing w:before="120" w:after="120"/>
        <w:outlineLvl w:val="3"/>
        <w:rPr>
          <w:b/>
          <w:bCs/>
          <w:color w:val="008576"/>
          <w:sz w:val="24"/>
          <w:szCs w:val="28"/>
        </w:rPr>
      </w:pPr>
      <w:r w:rsidRPr="006577D4">
        <w:rPr>
          <w:b/>
          <w:bCs/>
          <w:color w:val="008576"/>
          <w:sz w:val="24"/>
          <w:szCs w:val="28"/>
        </w:rPr>
        <w:lastRenderedPageBreak/>
        <w:t>The proposed solution: changing everything to Funding Shares</w:t>
      </w:r>
    </w:p>
    <w:p w:rsidR="000E7277" w:rsidRPr="006577D4" w:rsidRDefault="000E7277" w:rsidP="000E7277">
      <w:pPr>
        <w:spacing w:after="180"/>
      </w:pPr>
      <w:r w:rsidRPr="006577D4">
        <w:t>It was suggested that charging the whole of the ‘Supplier’ SVA Costs via Funding Shares may incur higher costs for those who only supply large HH sites</w:t>
      </w:r>
      <w:r>
        <w:t>, despite the data costs per MSID being similar to smaller HH sites</w:t>
      </w:r>
      <w:r w:rsidRPr="006577D4">
        <w:t>. Members felt it would be fairer to charge on a per MSID basis. This would:</w:t>
      </w:r>
    </w:p>
    <w:p w:rsidR="000E7277" w:rsidRPr="006577D4" w:rsidRDefault="000E7277" w:rsidP="000E7277">
      <w:pPr>
        <w:spacing w:after="180"/>
        <w:ind w:left="714" w:hanging="357"/>
      </w:pPr>
      <w:proofErr w:type="gramStart"/>
      <w:r w:rsidRPr="006577D4">
        <w:t>bring</w:t>
      </w:r>
      <w:proofErr w:type="gramEnd"/>
      <w:r w:rsidRPr="006577D4">
        <w:t xml:space="preserve"> costs down;</w:t>
      </w:r>
    </w:p>
    <w:p w:rsidR="000E7277" w:rsidRPr="006577D4" w:rsidRDefault="000E7277" w:rsidP="000E7277">
      <w:pPr>
        <w:spacing w:after="180"/>
        <w:ind w:left="714" w:hanging="357"/>
      </w:pPr>
      <w:proofErr w:type="gramStart"/>
      <w:r w:rsidRPr="006577D4">
        <w:t>remove</w:t>
      </w:r>
      <w:proofErr w:type="gramEnd"/>
      <w:r w:rsidRPr="006577D4">
        <w:t xml:space="preserve"> the difference between HH and NHH; and </w:t>
      </w:r>
    </w:p>
    <w:p w:rsidR="000E7277" w:rsidRPr="006577D4" w:rsidRDefault="000E7277" w:rsidP="000E7277">
      <w:pPr>
        <w:spacing w:after="180"/>
        <w:ind w:left="714" w:hanging="357"/>
      </w:pPr>
      <w:proofErr w:type="gramStart"/>
      <w:r w:rsidRPr="006577D4">
        <w:t>mean</w:t>
      </w:r>
      <w:proofErr w:type="gramEnd"/>
      <w:r w:rsidRPr="006577D4">
        <w:t xml:space="preserve"> that Suppliers with small number of sites may pay nothing in some months due to the invoices falling below </w:t>
      </w:r>
      <w:r>
        <w:t xml:space="preserve">the £500 </w:t>
      </w:r>
      <w:r w:rsidRPr="006577D4">
        <w:t xml:space="preserve">billable threshold, encouraging competition. </w:t>
      </w:r>
    </w:p>
    <w:p w:rsidR="000E7277" w:rsidRPr="006577D4" w:rsidRDefault="000E7277" w:rsidP="000E7277">
      <w:pPr>
        <w:spacing w:after="180"/>
      </w:pPr>
      <w:r w:rsidRPr="006577D4">
        <w:t xml:space="preserve">A concern was raised by a member about how appropriate it was to recover </w:t>
      </w:r>
      <w:r>
        <w:t xml:space="preserve">NHH-specific </w:t>
      </w:r>
      <w:r w:rsidRPr="006577D4">
        <w:t xml:space="preserve">costs from HH sites. The Workgroup agreed that this was a reasonable question. However, it believed that the costs were reasonable and provided assurance for the application of Grid Supply Point (GSP) Group Correction Factors. Members therefore were not concerned by this element. Further, adoption of the new solution would remove an issue arising from </w:t>
      </w:r>
      <w:hyperlink r:id="rId37" w:history="1">
        <w:r w:rsidRPr="00031E93">
          <w:rPr>
            <w:rStyle w:val="Hyperlink"/>
          </w:rPr>
          <w:t>P272 ‘Mandatory Half Hourly Settlement for Profile Classes 5-8’</w:t>
        </w:r>
      </w:hyperlink>
      <w:r w:rsidRPr="006577D4">
        <w:t xml:space="preserve"> mandating sites paying costs for Measurement Class “C” and would stop the current two way cross-subsid</w:t>
      </w:r>
      <w:r>
        <w:t>isation</w:t>
      </w:r>
      <w:r w:rsidRPr="006577D4">
        <w:t>.</w:t>
      </w:r>
    </w:p>
    <w:p w:rsidR="000E7277" w:rsidRPr="006577D4" w:rsidRDefault="000E7277" w:rsidP="000E7277">
      <w:pPr>
        <w:spacing w:after="180"/>
      </w:pPr>
      <w:r w:rsidRPr="006577D4">
        <w:t>In the consultation one respondent commented: “The additional complexity of the SVA NHH arrangements, particularly profiling, involves additional costs, and it could be considered reasonable for the po</w:t>
      </w:r>
      <w:r>
        <w:t>pulation of NHH M</w:t>
      </w:r>
      <w:r w:rsidRPr="006577D4">
        <w:t xml:space="preserve">eters to contribute proportionally more towards the central SVA costs than the SVA HH population. The proposal as consulted on would achieve this while the NHH population remains much larger, although not in a quantifiably cost-reflective basis. A more cost-reflective charging approach would be more complicated, and the benefits may well not justify the costs and complexity”. </w:t>
      </w:r>
    </w:p>
    <w:p w:rsidR="000E7277" w:rsidRPr="006577D4" w:rsidRDefault="000E7277" w:rsidP="000E7277">
      <w:pPr>
        <w:spacing w:after="180"/>
      </w:pPr>
      <w:r w:rsidRPr="006577D4">
        <w:t xml:space="preserve">The respondent also commented that they would like to see some analysis and estimation of the charges for the new solution prior to it being released. ELEXON had completed some analysis of the solutions impact vs the current baseline and shared that with the Workgroup. </w:t>
      </w:r>
      <w:r>
        <w:t>Summary figures and calculations are shown below.</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63"/>
        <w:gridCol w:w="5812"/>
        <w:gridCol w:w="1646"/>
      </w:tblGrid>
      <w:tr w:rsidR="000E7277" w:rsidRPr="006577D4" w:rsidTr="00D56FFF">
        <w:trPr>
          <w:cantSplit/>
          <w:trHeight w:val="397"/>
          <w:tblHeader/>
        </w:trPr>
        <w:tc>
          <w:tcPr>
            <w:tcW w:w="8021" w:type="dxa"/>
            <w:gridSpan w:val="3"/>
            <w:tcBorders>
              <w:bottom w:val="single" w:sz="8" w:space="0" w:color="CCE0DA"/>
            </w:tcBorders>
            <w:shd w:val="clear" w:color="auto" w:fill="CCE0DA"/>
            <w:vAlign w:val="center"/>
          </w:tcPr>
          <w:p w:rsidR="000E7277" w:rsidRPr="006577D4" w:rsidRDefault="000E7277" w:rsidP="00D56FFF">
            <w:pPr>
              <w:spacing w:line="240" w:lineRule="auto"/>
              <w:ind w:left="57" w:right="57"/>
              <w:rPr>
                <w:color w:val="008576"/>
              </w:rPr>
            </w:pPr>
            <w:r w:rsidRPr="006577D4">
              <w:rPr>
                <w:color w:val="008576"/>
              </w:rPr>
              <w:t>Baseline Consumption Share recovery</w:t>
            </w:r>
          </w:p>
        </w:tc>
      </w:tr>
      <w:tr w:rsidR="000E7277" w:rsidRPr="006577D4" w:rsidTr="00D56FFF">
        <w:trPr>
          <w:cantSplit/>
          <w:trHeight w:val="397"/>
          <w:tblHeader/>
        </w:trPr>
        <w:tc>
          <w:tcPr>
            <w:tcW w:w="563" w:type="dxa"/>
            <w:tcBorders>
              <w:top w:val="single" w:sz="8" w:space="0" w:color="CCE0DA"/>
            </w:tcBorders>
          </w:tcPr>
          <w:p w:rsidR="000E7277" w:rsidRPr="006577D4" w:rsidRDefault="000E7277" w:rsidP="00D56FFF">
            <w:pPr>
              <w:spacing w:before="60" w:after="60" w:line="240" w:lineRule="auto"/>
              <w:ind w:left="57" w:right="57"/>
            </w:pPr>
            <w:r w:rsidRPr="006577D4">
              <w:t>Ref</w:t>
            </w:r>
          </w:p>
        </w:tc>
        <w:tc>
          <w:tcPr>
            <w:tcW w:w="5812" w:type="dxa"/>
            <w:tcBorders>
              <w:top w:val="single" w:sz="8" w:space="0" w:color="CCE0DA"/>
            </w:tcBorders>
          </w:tcPr>
          <w:p w:rsidR="000E7277" w:rsidRPr="006577D4" w:rsidRDefault="000E7277" w:rsidP="00D56FFF">
            <w:pPr>
              <w:spacing w:before="60" w:after="60" w:line="240" w:lineRule="auto"/>
              <w:ind w:left="57" w:right="57"/>
            </w:pPr>
            <w:r w:rsidRPr="006577D4">
              <w:t>Description</w:t>
            </w:r>
          </w:p>
        </w:tc>
        <w:tc>
          <w:tcPr>
            <w:tcW w:w="1646" w:type="dxa"/>
            <w:tcBorders>
              <w:top w:val="single" w:sz="8" w:space="0" w:color="CCE0DA"/>
            </w:tcBorders>
          </w:tcPr>
          <w:p w:rsidR="000E7277" w:rsidRPr="006577D4" w:rsidRDefault="000E7277" w:rsidP="00D56FFF">
            <w:pPr>
              <w:spacing w:before="60" w:after="60" w:line="240" w:lineRule="auto"/>
              <w:ind w:left="57" w:right="57"/>
            </w:pPr>
            <w:r w:rsidRPr="006577D4">
              <w:t>Amount</w:t>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(a)</w:t>
            </w:r>
          </w:p>
        </w:tc>
        <w:tc>
          <w:tcPr>
            <w:tcW w:w="5812" w:type="dxa"/>
          </w:tcPr>
          <w:p w:rsidR="000E7277" w:rsidRPr="006577D4" w:rsidRDefault="000E7277" w:rsidP="00D56FFF">
            <w:pPr>
              <w:spacing w:after="60"/>
              <w:ind w:left="57" w:right="57"/>
              <w:rPr>
                <w:color w:val="008576"/>
              </w:rPr>
            </w:pPr>
            <w:r w:rsidRPr="006577D4">
              <w:rPr>
                <w:color w:val="008576"/>
              </w:rPr>
              <w:t>Annual SVA Costs</w:t>
            </w:r>
          </w:p>
        </w:tc>
        <w:tc>
          <w:tcPr>
            <w:tcW w:w="1646" w:type="dxa"/>
          </w:tcPr>
          <w:p w:rsidR="000E7277" w:rsidRPr="006577D4" w:rsidRDefault="000E7277" w:rsidP="00D56FFF">
            <w:pPr>
              <w:spacing w:after="60"/>
              <w:ind w:left="57" w:right="57"/>
              <w:rPr>
                <w:color w:val="008576"/>
              </w:rPr>
            </w:pPr>
            <w:r w:rsidRPr="006577D4">
              <w:rPr>
                <w:color w:val="008576"/>
              </w:rPr>
              <w:t>£3,556,058.15</w:t>
            </w:r>
            <w:bookmarkStart w:id="7" w:name="_Ref463266396"/>
            <w:r w:rsidRPr="006577D4">
              <w:rPr>
                <w:color w:val="008576"/>
                <w:vertAlign w:val="superscript"/>
              </w:rPr>
              <w:footnoteReference w:id="1"/>
            </w:r>
            <w:bookmarkEnd w:id="7"/>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(b)</w:t>
            </w:r>
          </w:p>
        </w:tc>
        <w:tc>
          <w:tcPr>
            <w:tcW w:w="5812" w:type="dxa"/>
          </w:tcPr>
          <w:p w:rsidR="000E7277" w:rsidRPr="006577D4" w:rsidRDefault="000E7277" w:rsidP="00D56FFF">
            <w:pPr>
              <w:spacing w:after="60"/>
              <w:ind w:left="57" w:right="57"/>
              <w:rPr>
                <w:color w:val="008576"/>
              </w:rPr>
            </w:pPr>
            <w:r w:rsidRPr="006577D4">
              <w:rPr>
                <w:color w:val="008576"/>
              </w:rPr>
              <w:t>Annual Supplier Half</w:t>
            </w:r>
          </w:p>
        </w:tc>
        <w:tc>
          <w:tcPr>
            <w:tcW w:w="1646" w:type="dxa"/>
          </w:tcPr>
          <w:p w:rsidR="000E7277" w:rsidRPr="006577D4" w:rsidRDefault="000E7277" w:rsidP="00D56FFF">
            <w:pPr>
              <w:spacing w:after="60"/>
              <w:ind w:left="57" w:right="57"/>
              <w:rPr>
                <w:color w:val="008576"/>
              </w:rPr>
            </w:pPr>
            <w:r w:rsidRPr="006577D4">
              <w:rPr>
                <w:color w:val="008576"/>
              </w:rPr>
              <w:t>£1,778,029.08</w:t>
            </w:r>
            <w:r w:rsidRPr="006577D4">
              <w:rPr>
                <w:color w:val="008576"/>
                <w:vertAlign w:val="superscript"/>
              </w:rPr>
              <w:footnoteReference w:id="2"/>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(c)</w:t>
            </w:r>
          </w:p>
        </w:tc>
        <w:tc>
          <w:tcPr>
            <w:tcW w:w="5812" w:type="dxa"/>
          </w:tcPr>
          <w:p w:rsidR="000E7277" w:rsidRPr="006577D4" w:rsidRDefault="000E7277" w:rsidP="00D56FFF">
            <w:pPr>
              <w:spacing w:after="60"/>
              <w:ind w:left="57" w:right="57"/>
              <w:rPr>
                <w:color w:val="008576"/>
              </w:rPr>
            </w:pPr>
            <w:r w:rsidRPr="006577D4">
              <w:rPr>
                <w:b/>
                <w:bCs/>
                <w:color w:val="008576"/>
              </w:rPr>
              <w:t>Monthly SVA Specified Charge (£/HH SVA MSID)</w:t>
            </w:r>
          </w:p>
        </w:tc>
        <w:tc>
          <w:tcPr>
            <w:tcW w:w="1646" w:type="dxa"/>
          </w:tcPr>
          <w:p w:rsidR="000E7277" w:rsidRPr="006577D4" w:rsidRDefault="000E7277" w:rsidP="00D56FFF">
            <w:pPr>
              <w:spacing w:after="60"/>
              <w:ind w:left="57" w:right="57"/>
              <w:rPr>
                <w:color w:val="008576"/>
              </w:rPr>
            </w:pPr>
            <w:r w:rsidRPr="006577D4">
              <w:rPr>
                <w:b/>
                <w:bCs/>
                <w:color w:val="008576"/>
              </w:rPr>
              <w:t>£0.35</w:t>
            </w:r>
            <w:r w:rsidRPr="006577D4">
              <w:rPr>
                <w:color w:val="008576"/>
                <w:vertAlign w:val="superscript"/>
              </w:rPr>
              <w:footnoteReference w:id="3"/>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(d)</w:t>
            </w:r>
          </w:p>
        </w:tc>
        <w:tc>
          <w:tcPr>
            <w:tcW w:w="5812" w:type="dxa"/>
          </w:tcPr>
          <w:p w:rsidR="000E7277" w:rsidRPr="006577D4" w:rsidRDefault="000E7277" w:rsidP="00D56FFF">
            <w:pPr>
              <w:spacing w:after="60"/>
              <w:ind w:left="57" w:right="57"/>
              <w:rPr>
                <w:bCs/>
                <w:color w:val="008576"/>
              </w:rPr>
            </w:pPr>
            <w:r w:rsidRPr="006577D4">
              <w:rPr>
                <w:bCs/>
                <w:color w:val="008576"/>
              </w:rPr>
              <w:t>Count of HH SVA MSIDs</w:t>
            </w:r>
          </w:p>
        </w:tc>
        <w:tc>
          <w:tcPr>
            <w:tcW w:w="1646" w:type="dxa"/>
          </w:tcPr>
          <w:p w:rsidR="000E7277" w:rsidRPr="006577D4" w:rsidRDefault="000E7277" w:rsidP="00D56FFF">
            <w:pPr>
              <w:spacing w:after="60"/>
              <w:ind w:left="57" w:right="57"/>
              <w:rPr>
                <w:bCs/>
                <w:color w:val="008576"/>
              </w:rPr>
            </w:pPr>
            <w:r w:rsidRPr="006577D4">
              <w:rPr>
                <w:bCs/>
                <w:color w:val="008576"/>
              </w:rPr>
              <w:t>171,879</w:t>
            </w:r>
            <w:bookmarkStart w:id="8" w:name="_Ref463266256"/>
            <w:r w:rsidRPr="006577D4">
              <w:rPr>
                <w:bCs/>
                <w:color w:val="008576"/>
                <w:vertAlign w:val="superscript"/>
              </w:rPr>
              <w:footnoteReference w:id="4"/>
            </w:r>
            <w:bookmarkEnd w:id="8"/>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(e)</w:t>
            </w:r>
          </w:p>
        </w:tc>
        <w:tc>
          <w:tcPr>
            <w:tcW w:w="5812" w:type="dxa"/>
          </w:tcPr>
          <w:p w:rsidR="000E7277" w:rsidRPr="006577D4" w:rsidRDefault="000E7277" w:rsidP="00D56FFF">
            <w:pPr>
              <w:spacing w:after="60"/>
              <w:ind w:left="57" w:right="57"/>
              <w:rPr>
                <w:bCs/>
                <w:color w:val="008576"/>
              </w:rPr>
            </w:pPr>
            <w:r w:rsidRPr="006577D4">
              <w:rPr>
                <w:color w:val="008576"/>
              </w:rPr>
              <w:t>Count of NHH SVA MSIDs</w:t>
            </w:r>
          </w:p>
        </w:tc>
        <w:tc>
          <w:tcPr>
            <w:tcW w:w="1646" w:type="dxa"/>
          </w:tcPr>
          <w:p w:rsidR="000E7277" w:rsidRPr="006577D4" w:rsidRDefault="000E7277" w:rsidP="00D56FFF">
            <w:pPr>
              <w:spacing w:after="60"/>
              <w:ind w:left="57" w:right="57"/>
              <w:rPr>
                <w:bCs/>
                <w:color w:val="008576"/>
              </w:rPr>
            </w:pPr>
            <w:r w:rsidRPr="006577D4">
              <w:rPr>
                <w:color w:val="008576"/>
              </w:rPr>
              <w:t>30,041,894</w:t>
            </w:r>
            <w:r w:rsidRPr="006577D4">
              <w:rPr>
                <w:color w:val="008576"/>
                <w:vertAlign w:val="superscript"/>
              </w:rPr>
              <w:fldChar w:fldCharType="begin"/>
            </w:r>
            <w:r w:rsidRPr="006577D4">
              <w:rPr>
                <w:color w:val="008576"/>
                <w:vertAlign w:val="superscript"/>
              </w:rPr>
              <w:instrText xml:space="preserve"> NOTEREF _Ref463266256 \h  \* MERGEFORMAT </w:instrText>
            </w:r>
            <w:r w:rsidRPr="006577D4">
              <w:rPr>
                <w:color w:val="008576"/>
                <w:vertAlign w:val="superscript"/>
              </w:rPr>
            </w:r>
            <w:r w:rsidRPr="006577D4">
              <w:rPr>
                <w:color w:val="008576"/>
                <w:vertAlign w:val="superscript"/>
              </w:rPr>
              <w:fldChar w:fldCharType="separate"/>
            </w:r>
            <w:r>
              <w:rPr>
                <w:color w:val="008576"/>
                <w:vertAlign w:val="superscript"/>
              </w:rPr>
              <w:t>4</w:t>
            </w:r>
            <w:r w:rsidRPr="006577D4">
              <w:rPr>
                <w:color w:val="008576"/>
                <w:vertAlign w:val="superscript"/>
              </w:rPr>
              <w:fldChar w:fldCharType="end"/>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(f)</w:t>
            </w:r>
          </w:p>
        </w:tc>
        <w:tc>
          <w:tcPr>
            <w:tcW w:w="5812" w:type="dxa"/>
          </w:tcPr>
          <w:p w:rsidR="000E7277" w:rsidRPr="006577D4" w:rsidRDefault="000E7277" w:rsidP="00D56FFF">
            <w:pPr>
              <w:spacing w:after="60"/>
              <w:ind w:left="57" w:right="57"/>
              <w:rPr>
                <w:bCs/>
                <w:color w:val="008576"/>
              </w:rPr>
            </w:pPr>
            <w:r w:rsidRPr="006577D4">
              <w:rPr>
                <w:bCs/>
                <w:color w:val="008576"/>
              </w:rPr>
              <w:t>Count of SVA MSIDs</w:t>
            </w:r>
          </w:p>
        </w:tc>
        <w:tc>
          <w:tcPr>
            <w:tcW w:w="1646" w:type="dxa"/>
          </w:tcPr>
          <w:p w:rsidR="000E7277" w:rsidRPr="006577D4" w:rsidRDefault="000E7277" w:rsidP="00D56FFF">
            <w:pPr>
              <w:spacing w:after="60"/>
              <w:ind w:left="57" w:right="57"/>
              <w:rPr>
                <w:bCs/>
                <w:color w:val="008576"/>
              </w:rPr>
            </w:pPr>
            <w:r w:rsidRPr="006577D4">
              <w:rPr>
                <w:color w:val="008576"/>
              </w:rPr>
              <w:t>30,213,773</w:t>
            </w:r>
            <w:r w:rsidRPr="006577D4">
              <w:rPr>
                <w:bCs/>
                <w:color w:val="008576"/>
                <w:vertAlign w:val="superscript"/>
              </w:rPr>
              <w:footnoteReference w:id="5"/>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(g)</w:t>
            </w:r>
          </w:p>
        </w:tc>
        <w:tc>
          <w:tcPr>
            <w:tcW w:w="5812" w:type="dxa"/>
          </w:tcPr>
          <w:p w:rsidR="000E7277" w:rsidRPr="006577D4" w:rsidRDefault="000E7277" w:rsidP="00D56FFF">
            <w:pPr>
              <w:spacing w:after="60"/>
              <w:ind w:left="57" w:right="57"/>
              <w:rPr>
                <w:bCs/>
                <w:color w:val="008576"/>
              </w:rPr>
            </w:pPr>
            <w:r w:rsidRPr="006577D4">
              <w:rPr>
                <w:color w:val="008576"/>
                <w:szCs w:val="20"/>
              </w:rPr>
              <w:t>Total SVA Specified Charges (per month)</w:t>
            </w:r>
          </w:p>
        </w:tc>
        <w:tc>
          <w:tcPr>
            <w:tcW w:w="1646" w:type="dxa"/>
          </w:tcPr>
          <w:p w:rsidR="000E7277" w:rsidRPr="006577D4" w:rsidRDefault="000E7277" w:rsidP="00D56FFF">
            <w:pPr>
              <w:spacing w:after="60"/>
              <w:ind w:left="57" w:right="57"/>
              <w:rPr>
                <w:bCs/>
                <w:color w:val="008576"/>
              </w:rPr>
            </w:pPr>
            <w:r w:rsidRPr="006577D4">
              <w:rPr>
                <w:color w:val="008576"/>
                <w:szCs w:val="20"/>
              </w:rPr>
              <w:t>£60,157.65</w:t>
            </w:r>
            <w:r w:rsidRPr="006577D4">
              <w:rPr>
                <w:bCs/>
                <w:color w:val="008576"/>
                <w:vertAlign w:val="superscript"/>
              </w:rPr>
              <w:footnoteReference w:id="6"/>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(h)</w:t>
            </w:r>
          </w:p>
        </w:tc>
        <w:tc>
          <w:tcPr>
            <w:tcW w:w="5812" w:type="dxa"/>
          </w:tcPr>
          <w:p w:rsidR="000E7277" w:rsidRPr="006577D4" w:rsidRDefault="000E7277" w:rsidP="00D56FFF">
            <w:pPr>
              <w:spacing w:after="60"/>
              <w:ind w:left="57" w:right="57"/>
              <w:rPr>
                <w:bCs/>
                <w:color w:val="008576"/>
              </w:rPr>
            </w:pPr>
            <w:r w:rsidRPr="006577D4">
              <w:rPr>
                <w:color w:val="008576"/>
                <w:szCs w:val="20"/>
              </w:rPr>
              <w:t>Total SVA Specified Charges (annual)</w:t>
            </w:r>
          </w:p>
        </w:tc>
        <w:tc>
          <w:tcPr>
            <w:tcW w:w="1646" w:type="dxa"/>
          </w:tcPr>
          <w:p w:rsidR="000E7277" w:rsidRPr="006577D4" w:rsidRDefault="000E7277" w:rsidP="00D56FFF">
            <w:pPr>
              <w:spacing w:after="60"/>
              <w:ind w:left="57" w:right="57"/>
              <w:rPr>
                <w:bCs/>
                <w:color w:val="008576"/>
              </w:rPr>
            </w:pPr>
            <w:r w:rsidRPr="006577D4">
              <w:rPr>
                <w:color w:val="008576"/>
                <w:szCs w:val="20"/>
              </w:rPr>
              <w:t>£721,891.80</w:t>
            </w:r>
            <w:r w:rsidRPr="006577D4">
              <w:rPr>
                <w:bCs/>
                <w:color w:val="008576"/>
                <w:vertAlign w:val="superscript"/>
              </w:rPr>
              <w:footnoteReference w:id="7"/>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lastRenderedPageBreak/>
              <w:t>(</w:t>
            </w:r>
            <w:proofErr w:type="spellStart"/>
            <w:r w:rsidRPr="006577D4">
              <w:rPr>
                <w:color w:val="008576"/>
              </w:rPr>
              <w:t>i</w:t>
            </w:r>
            <w:proofErr w:type="spellEnd"/>
            <w:r w:rsidRPr="006577D4">
              <w:rPr>
                <w:color w:val="008576"/>
              </w:rPr>
              <w:t>)</w:t>
            </w:r>
          </w:p>
        </w:tc>
        <w:tc>
          <w:tcPr>
            <w:tcW w:w="5812" w:type="dxa"/>
          </w:tcPr>
          <w:p w:rsidR="000E7277" w:rsidRPr="006577D4" w:rsidRDefault="000E7277" w:rsidP="00D56FFF">
            <w:pPr>
              <w:spacing w:after="60"/>
              <w:ind w:left="57" w:right="57"/>
              <w:rPr>
                <w:b/>
                <w:bCs/>
                <w:color w:val="008576"/>
              </w:rPr>
            </w:pPr>
            <w:r w:rsidRPr="006577D4">
              <w:rPr>
                <w:color w:val="008576"/>
                <w:szCs w:val="20"/>
              </w:rPr>
              <w:t>Annual Consumption-Charging Net SVA Costs</w:t>
            </w:r>
          </w:p>
        </w:tc>
        <w:tc>
          <w:tcPr>
            <w:tcW w:w="1646" w:type="dxa"/>
          </w:tcPr>
          <w:p w:rsidR="000E7277" w:rsidRPr="006577D4" w:rsidRDefault="000E7277" w:rsidP="00D56FFF">
            <w:pPr>
              <w:spacing w:after="60"/>
              <w:ind w:left="57" w:right="57"/>
              <w:rPr>
                <w:color w:val="008576"/>
                <w:szCs w:val="20"/>
              </w:rPr>
            </w:pPr>
            <w:r w:rsidRPr="006577D4">
              <w:rPr>
                <w:color w:val="008576"/>
                <w:szCs w:val="20"/>
              </w:rPr>
              <w:t>£1,056,137.28</w:t>
            </w:r>
            <w:r w:rsidRPr="006577D4">
              <w:rPr>
                <w:color w:val="008576"/>
                <w:szCs w:val="20"/>
                <w:vertAlign w:val="superscript"/>
              </w:rPr>
              <w:footnoteReference w:id="8"/>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(j)</w:t>
            </w:r>
          </w:p>
        </w:tc>
        <w:tc>
          <w:tcPr>
            <w:tcW w:w="5812" w:type="dxa"/>
          </w:tcPr>
          <w:p w:rsidR="000E7277" w:rsidRPr="006577D4" w:rsidRDefault="000E7277" w:rsidP="00D56FFF">
            <w:pPr>
              <w:spacing w:after="60"/>
              <w:ind w:left="57" w:right="57"/>
              <w:rPr>
                <w:b/>
                <w:bCs/>
                <w:color w:val="008576"/>
              </w:rPr>
            </w:pPr>
            <w:r w:rsidRPr="006577D4">
              <w:rPr>
                <w:color w:val="008576"/>
                <w:szCs w:val="20"/>
              </w:rPr>
              <w:t>Monthly Consumption-Charging Net SVA Costs</w:t>
            </w:r>
          </w:p>
        </w:tc>
        <w:tc>
          <w:tcPr>
            <w:tcW w:w="1646" w:type="dxa"/>
          </w:tcPr>
          <w:p w:rsidR="000E7277" w:rsidRPr="006577D4" w:rsidRDefault="000E7277" w:rsidP="00D56FFF">
            <w:pPr>
              <w:spacing w:after="60"/>
              <w:ind w:left="57" w:right="57"/>
              <w:rPr>
                <w:b/>
                <w:bCs/>
                <w:color w:val="008576"/>
              </w:rPr>
            </w:pPr>
            <w:r w:rsidRPr="006577D4">
              <w:rPr>
                <w:color w:val="008576"/>
                <w:szCs w:val="20"/>
              </w:rPr>
              <w:t>£88,011.44</w:t>
            </w:r>
            <w:r w:rsidRPr="006577D4">
              <w:rPr>
                <w:b/>
                <w:bCs/>
                <w:color w:val="008576"/>
                <w:vertAlign w:val="superscript"/>
              </w:rPr>
              <w:footnoteReference w:id="9"/>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(k)</w:t>
            </w:r>
          </w:p>
        </w:tc>
        <w:tc>
          <w:tcPr>
            <w:tcW w:w="5812" w:type="dxa"/>
          </w:tcPr>
          <w:p w:rsidR="000E7277" w:rsidRPr="006577D4" w:rsidRDefault="000E7277" w:rsidP="00D56FFF">
            <w:pPr>
              <w:spacing w:after="60"/>
              <w:ind w:left="57" w:right="57"/>
              <w:rPr>
                <w:b/>
                <w:bCs/>
                <w:color w:val="008576"/>
              </w:rPr>
            </w:pPr>
            <w:r w:rsidRPr="006577D4">
              <w:rPr>
                <w:color w:val="008576"/>
                <w:szCs w:val="20"/>
              </w:rPr>
              <w:t>May 2016 Total NHH Supplier Deemed Take (MWh)</w:t>
            </w:r>
          </w:p>
        </w:tc>
        <w:tc>
          <w:tcPr>
            <w:tcW w:w="1646" w:type="dxa"/>
          </w:tcPr>
          <w:p w:rsidR="000E7277" w:rsidRPr="006577D4" w:rsidRDefault="000E7277" w:rsidP="00D56FFF">
            <w:pPr>
              <w:spacing w:after="60"/>
              <w:ind w:left="57" w:right="57"/>
              <w:rPr>
                <w:b/>
                <w:bCs/>
                <w:color w:val="008576"/>
              </w:rPr>
            </w:pPr>
            <w:r w:rsidRPr="006577D4">
              <w:rPr>
                <w:color w:val="008576"/>
                <w:szCs w:val="20"/>
              </w:rPr>
              <w:t>11,804,951.381</w:t>
            </w:r>
            <w:r w:rsidRPr="006577D4">
              <w:rPr>
                <w:b/>
                <w:bCs/>
                <w:color w:val="008576"/>
                <w:vertAlign w:val="superscript"/>
              </w:rPr>
              <w:footnoteReference w:id="10"/>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(l)</w:t>
            </w:r>
          </w:p>
        </w:tc>
        <w:tc>
          <w:tcPr>
            <w:tcW w:w="5812" w:type="dxa"/>
          </w:tcPr>
          <w:p w:rsidR="000E7277" w:rsidRPr="006577D4" w:rsidRDefault="000E7277" w:rsidP="00D56FFF">
            <w:pPr>
              <w:spacing w:after="60"/>
              <w:ind w:left="57" w:right="57"/>
              <w:rPr>
                <w:b/>
                <w:bCs/>
                <w:color w:val="008576"/>
              </w:rPr>
            </w:pPr>
            <w:r w:rsidRPr="006577D4">
              <w:rPr>
                <w:color w:val="008576"/>
                <w:szCs w:val="20"/>
              </w:rPr>
              <w:t>SVA (Consumption) Funding Share</w:t>
            </w:r>
          </w:p>
        </w:tc>
        <w:tc>
          <w:tcPr>
            <w:tcW w:w="1646" w:type="dxa"/>
          </w:tcPr>
          <w:p w:rsidR="000E7277" w:rsidRPr="006577D4" w:rsidRDefault="000E7277" w:rsidP="00D56FFF">
            <w:pPr>
              <w:spacing w:after="60"/>
              <w:ind w:left="57" w:right="57"/>
              <w:rPr>
                <w:b/>
                <w:bCs/>
                <w:color w:val="008576"/>
              </w:rPr>
            </w:pPr>
            <w:r w:rsidRPr="006577D4">
              <w:rPr>
                <w:color w:val="008576"/>
                <w:szCs w:val="20"/>
              </w:rPr>
              <w:t>£0.00746</w:t>
            </w:r>
            <w:r w:rsidRPr="006577D4">
              <w:rPr>
                <w:b/>
                <w:bCs/>
                <w:color w:val="008576"/>
                <w:vertAlign w:val="superscript"/>
              </w:rPr>
              <w:footnoteReference w:id="11"/>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(m)</w:t>
            </w:r>
          </w:p>
        </w:tc>
        <w:tc>
          <w:tcPr>
            <w:tcW w:w="5812" w:type="dxa"/>
          </w:tcPr>
          <w:p w:rsidR="000E7277" w:rsidRPr="006577D4" w:rsidRDefault="000E7277" w:rsidP="00D56FFF">
            <w:pPr>
              <w:spacing w:after="60"/>
              <w:ind w:left="57" w:right="57"/>
              <w:rPr>
                <w:b/>
                <w:bCs/>
                <w:color w:val="008576"/>
              </w:rPr>
            </w:pPr>
            <w:r w:rsidRPr="006577D4">
              <w:rPr>
                <w:b/>
                <w:bCs/>
                <w:color w:val="008576"/>
                <w:szCs w:val="20"/>
              </w:rPr>
              <w:t>SVA (Consumption) Funding Share Charge (per NHH MSID)</w:t>
            </w:r>
          </w:p>
        </w:tc>
        <w:tc>
          <w:tcPr>
            <w:tcW w:w="1646" w:type="dxa"/>
          </w:tcPr>
          <w:p w:rsidR="000E7277" w:rsidRPr="006577D4" w:rsidRDefault="000E7277" w:rsidP="00D56FFF">
            <w:pPr>
              <w:spacing w:after="60"/>
              <w:ind w:left="57" w:right="57"/>
              <w:rPr>
                <w:b/>
                <w:bCs/>
                <w:color w:val="008576"/>
                <w:szCs w:val="20"/>
              </w:rPr>
            </w:pPr>
            <w:r w:rsidRPr="006577D4">
              <w:rPr>
                <w:b/>
                <w:bCs/>
                <w:color w:val="008576"/>
                <w:szCs w:val="20"/>
              </w:rPr>
              <w:t>£0.00293</w:t>
            </w:r>
            <w:r w:rsidRPr="006577D4">
              <w:rPr>
                <w:b/>
                <w:bCs/>
                <w:color w:val="008576"/>
                <w:szCs w:val="20"/>
                <w:vertAlign w:val="superscript"/>
              </w:rPr>
              <w:footnoteReference w:id="12"/>
            </w:r>
          </w:p>
        </w:tc>
      </w:tr>
    </w:tbl>
    <w:p w:rsidR="000E7277" w:rsidRPr="006577D4" w:rsidRDefault="000E7277" w:rsidP="000E7277">
      <w:pPr>
        <w:spacing w:after="180"/>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63"/>
        <w:gridCol w:w="5812"/>
        <w:gridCol w:w="1646"/>
      </w:tblGrid>
      <w:tr w:rsidR="000E7277" w:rsidRPr="006577D4" w:rsidTr="00D56FFF">
        <w:trPr>
          <w:cantSplit/>
          <w:trHeight w:val="397"/>
          <w:tblHeader/>
        </w:trPr>
        <w:tc>
          <w:tcPr>
            <w:tcW w:w="8021" w:type="dxa"/>
            <w:gridSpan w:val="3"/>
            <w:tcBorders>
              <w:bottom w:val="single" w:sz="8" w:space="0" w:color="CCE0DA"/>
            </w:tcBorders>
            <w:shd w:val="clear" w:color="auto" w:fill="CCE0DA"/>
            <w:vAlign w:val="center"/>
          </w:tcPr>
          <w:p w:rsidR="000E7277" w:rsidRPr="006577D4" w:rsidRDefault="000E7277" w:rsidP="00D56FFF">
            <w:pPr>
              <w:spacing w:line="240" w:lineRule="auto"/>
              <w:ind w:left="57" w:right="57"/>
              <w:rPr>
                <w:color w:val="008576"/>
              </w:rPr>
            </w:pPr>
            <w:r w:rsidRPr="006577D4">
              <w:rPr>
                <w:color w:val="008576"/>
              </w:rPr>
              <w:t>Post P346 Consumption Share recovery</w:t>
            </w:r>
          </w:p>
        </w:tc>
      </w:tr>
      <w:tr w:rsidR="000E7277" w:rsidRPr="006577D4" w:rsidTr="00D56FFF">
        <w:trPr>
          <w:cantSplit/>
          <w:trHeight w:val="397"/>
          <w:tblHeader/>
        </w:trPr>
        <w:tc>
          <w:tcPr>
            <w:tcW w:w="563" w:type="dxa"/>
            <w:tcBorders>
              <w:top w:val="single" w:sz="8" w:space="0" w:color="CCE0DA"/>
            </w:tcBorders>
          </w:tcPr>
          <w:p w:rsidR="000E7277" w:rsidRPr="006577D4" w:rsidRDefault="000E7277" w:rsidP="00D56FFF">
            <w:pPr>
              <w:spacing w:before="60" w:after="60" w:line="240" w:lineRule="auto"/>
              <w:ind w:left="57" w:right="57"/>
            </w:pPr>
            <w:r w:rsidRPr="006577D4">
              <w:t>Ref</w:t>
            </w:r>
          </w:p>
        </w:tc>
        <w:tc>
          <w:tcPr>
            <w:tcW w:w="5812" w:type="dxa"/>
            <w:tcBorders>
              <w:top w:val="single" w:sz="8" w:space="0" w:color="CCE0DA"/>
            </w:tcBorders>
          </w:tcPr>
          <w:p w:rsidR="000E7277" w:rsidRPr="006577D4" w:rsidRDefault="000E7277" w:rsidP="00D56FFF">
            <w:pPr>
              <w:spacing w:before="60" w:after="60" w:line="240" w:lineRule="auto"/>
              <w:ind w:left="57" w:right="57"/>
            </w:pPr>
            <w:r w:rsidRPr="006577D4">
              <w:t>Description</w:t>
            </w:r>
          </w:p>
        </w:tc>
        <w:tc>
          <w:tcPr>
            <w:tcW w:w="1646" w:type="dxa"/>
            <w:tcBorders>
              <w:top w:val="single" w:sz="8" w:space="0" w:color="CCE0DA"/>
            </w:tcBorders>
          </w:tcPr>
          <w:p w:rsidR="000E7277" w:rsidRPr="006577D4" w:rsidRDefault="000E7277" w:rsidP="00D56FFF">
            <w:pPr>
              <w:spacing w:before="60" w:after="60" w:line="240" w:lineRule="auto"/>
              <w:ind w:left="57" w:right="57"/>
            </w:pPr>
            <w:r w:rsidRPr="006577D4">
              <w:t>Amount</w:t>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(a)</w:t>
            </w:r>
          </w:p>
        </w:tc>
        <w:tc>
          <w:tcPr>
            <w:tcW w:w="5812" w:type="dxa"/>
          </w:tcPr>
          <w:p w:rsidR="000E7277" w:rsidRPr="006577D4" w:rsidRDefault="000E7277" w:rsidP="00D56FFF">
            <w:pPr>
              <w:spacing w:after="60"/>
              <w:ind w:left="57" w:right="57"/>
              <w:rPr>
                <w:color w:val="008576"/>
              </w:rPr>
            </w:pPr>
            <w:r w:rsidRPr="006577D4">
              <w:rPr>
                <w:color w:val="008576"/>
              </w:rPr>
              <w:t>Annual SVA Costs</w:t>
            </w:r>
          </w:p>
        </w:tc>
        <w:tc>
          <w:tcPr>
            <w:tcW w:w="1646" w:type="dxa"/>
          </w:tcPr>
          <w:p w:rsidR="000E7277" w:rsidRPr="006577D4" w:rsidRDefault="000E7277" w:rsidP="00D56FFF">
            <w:pPr>
              <w:spacing w:after="60"/>
              <w:ind w:left="57" w:right="57"/>
              <w:rPr>
                <w:color w:val="008576"/>
              </w:rPr>
            </w:pPr>
            <w:r w:rsidRPr="006577D4">
              <w:rPr>
                <w:color w:val="008576"/>
              </w:rPr>
              <w:t>£3,556,058.15</w:t>
            </w:r>
            <w:r w:rsidRPr="006577D4">
              <w:rPr>
                <w:color w:val="008576"/>
                <w:vertAlign w:val="superscript"/>
              </w:rPr>
              <w:fldChar w:fldCharType="begin"/>
            </w:r>
            <w:r w:rsidRPr="006577D4">
              <w:rPr>
                <w:color w:val="008576"/>
                <w:vertAlign w:val="superscript"/>
              </w:rPr>
              <w:instrText xml:space="preserve"> NOTEREF _Ref463266396 \h  \* MERGEFORMAT </w:instrText>
            </w:r>
            <w:r w:rsidRPr="006577D4">
              <w:rPr>
                <w:color w:val="008576"/>
                <w:vertAlign w:val="superscript"/>
              </w:rPr>
            </w:r>
            <w:r w:rsidRPr="006577D4">
              <w:rPr>
                <w:color w:val="008576"/>
                <w:vertAlign w:val="superscript"/>
              </w:rPr>
              <w:fldChar w:fldCharType="separate"/>
            </w:r>
            <w:r>
              <w:rPr>
                <w:color w:val="008576"/>
                <w:vertAlign w:val="superscript"/>
              </w:rPr>
              <w:t>1</w:t>
            </w:r>
            <w:r w:rsidRPr="006577D4">
              <w:rPr>
                <w:color w:val="008576"/>
                <w:vertAlign w:val="superscript"/>
              </w:rPr>
              <w:fldChar w:fldCharType="end"/>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(b)</w:t>
            </w:r>
          </w:p>
        </w:tc>
        <w:tc>
          <w:tcPr>
            <w:tcW w:w="5812" w:type="dxa"/>
          </w:tcPr>
          <w:p w:rsidR="000E7277" w:rsidRPr="006577D4" w:rsidRDefault="000E7277" w:rsidP="00D56FFF">
            <w:pPr>
              <w:spacing w:after="60"/>
              <w:ind w:left="57" w:right="57"/>
              <w:rPr>
                <w:color w:val="008576"/>
              </w:rPr>
            </w:pPr>
            <w:r w:rsidRPr="006577D4">
              <w:rPr>
                <w:color w:val="008576"/>
              </w:rPr>
              <w:t>Annual Supplier half</w:t>
            </w:r>
          </w:p>
        </w:tc>
        <w:tc>
          <w:tcPr>
            <w:tcW w:w="1646" w:type="dxa"/>
          </w:tcPr>
          <w:p w:rsidR="000E7277" w:rsidRPr="006577D4" w:rsidRDefault="000E7277" w:rsidP="00D56FFF">
            <w:pPr>
              <w:spacing w:after="60"/>
              <w:ind w:left="57" w:right="57"/>
              <w:rPr>
                <w:color w:val="008576"/>
              </w:rPr>
            </w:pPr>
            <w:r w:rsidRPr="006577D4">
              <w:rPr>
                <w:color w:val="008576"/>
              </w:rPr>
              <w:t>£1,778,029.08</w:t>
            </w:r>
            <w:r w:rsidRPr="006577D4">
              <w:rPr>
                <w:color w:val="008576"/>
                <w:vertAlign w:val="superscript"/>
              </w:rPr>
              <w:footnoteReference w:id="13"/>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(c)</w:t>
            </w:r>
          </w:p>
        </w:tc>
        <w:tc>
          <w:tcPr>
            <w:tcW w:w="5812" w:type="dxa"/>
          </w:tcPr>
          <w:p w:rsidR="000E7277" w:rsidRPr="006577D4" w:rsidRDefault="000E7277" w:rsidP="00D56FFF">
            <w:pPr>
              <w:spacing w:after="60"/>
              <w:ind w:left="57" w:right="57"/>
              <w:rPr>
                <w:color w:val="008576"/>
              </w:rPr>
            </w:pPr>
            <w:r w:rsidRPr="006577D4">
              <w:rPr>
                <w:color w:val="008576"/>
              </w:rPr>
              <w:t>Count of HH SVA MSIDs</w:t>
            </w:r>
          </w:p>
        </w:tc>
        <w:tc>
          <w:tcPr>
            <w:tcW w:w="1646" w:type="dxa"/>
          </w:tcPr>
          <w:p w:rsidR="000E7277" w:rsidRPr="006577D4" w:rsidRDefault="000E7277" w:rsidP="00D56FFF">
            <w:pPr>
              <w:spacing w:after="60"/>
              <w:ind w:left="57" w:right="57"/>
              <w:rPr>
                <w:color w:val="008576"/>
              </w:rPr>
            </w:pPr>
            <w:r w:rsidRPr="006577D4">
              <w:rPr>
                <w:color w:val="008576"/>
              </w:rPr>
              <w:t>171,879</w:t>
            </w:r>
            <w:r w:rsidRPr="006577D4">
              <w:rPr>
                <w:color w:val="008576"/>
                <w:vertAlign w:val="superscript"/>
              </w:rPr>
              <w:fldChar w:fldCharType="begin"/>
            </w:r>
            <w:r w:rsidRPr="006577D4">
              <w:rPr>
                <w:color w:val="008576"/>
                <w:vertAlign w:val="superscript"/>
              </w:rPr>
              <w:instrText xml:space="preserve"> NOTEREF _Ref463266256 \h  \* MERGEFORMAT </w:instrText>
            </w:r>
            <w:r w:rsidRPr="006577D4">
              <w:rPr>
                <w:color w:val="008576"/>
                <w:vertAlign w:val="superscript"/>
              </w:rPr>
            </w:r>
            <w:r w:rsidRPr="006577D4">
              <w:rPr>
                <w:color w:val="008576"/>
                <w:vertAlign w:val="superscript"/>
              </w:rPr>
              <w:fldChar w:fldCharType="separate"/>
            </w:r>
            <w:r>
              <w:rPr>
                <w:color w:val="008576"/>
                <w:vertAlign w:val="superscript"/>
              </w:rPr>
              <w:t>4</w:t>
            </w:r>
            <w:r w:rsidRPr="006577D4">
              <w:rPr>
                <w:color w:val="008576"/>
                <w:vertAlign w:val="superscript"/>
              </w:rPr>
              <w:fldChar w:fldCharType="end"/>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(d)</w:t>
            </w:r>
          </w:p>
        </w:tc>
        <w:tc>
          <w:tcPr>
            <w:tcW w:w="5812" w:type="dxa"/>
          </w:tcPr>
          <w:p w:rsidR="000E7277" w:rsidRPr="006577D4" w:rsidRDefault="000E7277" w:rsidP="00D56FFF">
            <w:pPr>
              <w:spacing w:after="60"/>
              <w:ind w:left="57" w:right="57"/>
              <w:rPr>
                <w:color w:val="008576"/>
              </w:rPr>
            </w:pPr>
            <w:r w:rsidRPr="006577D4">
              <w:rPr>
                <w:color w:val="008576"/>
              </w:rPr>
              <w:t>Count of NHH SVA MSIDs</w:t>
            </w:r>
          </w:p>
        </w:tc>
        <w:tc>
          <w:tcPr>
            <w:tcW w:w="1646" w:type="dxa"/>
          </w:tcPr>
          <w:p w:rsidR="000E7277" w:rsidRPr="006577D4" w:rsidRDefault="000E7277" w:rsidP="00D56FFF">
            <w:pPr>
              <w:spacing w:after="60"/>
              <w:ind w:left="57" w:right="57"/>
              <w:rPr>
                <w:color w:val="008576"/>
              </w:rPr>
            </w:pPr>
            <w:r w:rsidRPr="006577D4">
              <w:rPr>
                <w:color w:val="008576"/>
              </w:rPr>
              <w:t>30,041,894</w:t>
            </w:r>
            <w:r w:rsidRPr="006577D4">
              <w:rPr>
                <w:color w:val="008576"/>
                <w:vertAlign w:val="superscript"/>
              </w:rPr>
              <w:fldChar w:fldCharType="begin"/>
            </w:r>
            <w:r w:rsidRPr="006577D4">
              <w:rPr>
                <w:color w:val="008576"/>
                <w:vertAlign w:val="superscript"/>
              </w:rPr>
              <w:instrText xml:space="preserve"> NOTEREF _Ref463266256 \h  \* MERGEFORMAT </w:instrText>
            </w:r>
            <w:r w:rsidRPr="006577D4">
              <w:rPr>
                <w:color w:val="008576"/>
                <w:vertAlign w:val="superscript"/>
              </w:rPr>
            </w:r>
            <w:r w:rsidRPr="006577D4">
              <w:rPr>
                <w:color w:val="008576"/>
                <w:vertAlign w:val="superscript"/>
              </w:rPr>
              <w:fldChar w:fldCharType="separate"/>
            </w:r>
            <w:r>
              <w:rPr>
                <w:color w:val="008576"/>
                <w:vertAlign w:val="superscript"/>
              </w:rPr>
              <w:t>4</w:t>
            </w:r>
            <w:r w:rsidRPr="006577D4">
              <w:rPr>
                <w:color w:val="008576"/>
                <w:vertAlign w:val="superscript"/>
              </w:rPr>
              <w:fldChar w:fldCharType="end"/>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(e)</w:t>
            </w:r>
          </w:p>
        </w:tc>
        <w:tc>
          <w:tcPr>
            <w:tcW w:w="5812" w:type="dxa"/>
          </w:tcPr>
          <w:p w:rsidR="000E7277" w:rsidRPr="006577D4" w:rsidRDefault="000E7277" w:rsidP="00D56FFF">
            <w:pPr>
              <w:spacing w:after="60"/>
              <w:ind w:left="57" w:right="57"/>
              <w:rPr>
                <w:color w:val="008576"/>
              </w:rPr>
            </w:pPr>
            <w:r w:rsidRPr="006577D4">
              <w:rPr>
                <w:color w:val="008576"/>
              </w:rPr>
              <w:t>Count of SVA MSIDs</w:t>
            </w:r>
          </w:p>
        </w:tc>
        <w:tc>
          <w:tcPr>
            <w:tcW w:w="1646" w:type="dxa"/>
          </w:tcPr>
          <w:p w:rsidR="000E7277" w:rsidRPr="006577D4" w:rsidRDefault="000E7277" w:rsidP="00D56FFF">
            <w:pPr>
              <w:spacing w:after="60"/>
              <w:ind w:left="57" w:right="57"/>
              <w:rPr>
                <w:color w:val="008576"/>
              </w:rPr>
            </w:pPr>
            <w:r w:rsidRPr="006577D4">
              <w:rPr>
                <w:color w:val="008576"/>
              </w:rPr>
              <w:t>30,213,773</w:t>
            </w:r>
            <w:r w:rsidRPr="006577D4">
              <w:rPr>
                <w:color w:val="008576"/>
                <w:vertAlign w:val="superscript"/>
              </w:rPr>
              <w:footnoteReference w:id="14"/>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(f)</w:t>
            </w:r>
          </w:p>
        </w:tc>
        <w:tc>
          <w:tcPr>
            <w:tcW w:w="5812" w:type="dxa"/>
          </w:tcPr>
          <w:p w:rsidR="000E7277" w:rsidRPr="006577D4" w:rsidRDefault="000E7277" w:rsidP="00D56FFF">
            <w:pPr>
              <w:spacing w:after="60"/>
              <w:ind w:left="57" w:right="57"/>
              <w:rPr>
                <w:b/>
                <w:color w:val="008576"/>
              </w:rPr>
            </w:pPr>
            <w:r w:rsidRPr="006577D4">
              <w:rPr>
                <w:b/>
                <w:color w:val="008576"/>
              </w:rPr>
              <w:t>SVA Specified Charge (£/SVA MSID)</w:t>
            </w:r>
          </w:p>
        </w:tc>
        <w:tc>
          <w:tcPr>
            <w:tcW w:w="1646" w:type="dxa"/>
          </w:tcPr>
          <w:p w:rsidR="000E7277" w:rsidRPr="006577D4" w:rsidRDefault="000E7277" w:rsidP="00D56FFF">
            <w:pPr>
              <w:spacing w:after="60"/>
              <w:ind w:left="57" w:right="57"/>
              <w:rPr>
                <w:b/>
                <w:color w:val="008576"/>
              </w:rPr>
            </w:pPr>
            <w:r w:rsidRPr="006577D4">
              <w:rPr>
                <w:b/>
                <w:color w:val="008576"/>
              </w:rPr>
              <w:t>£0.00490</w:t>
            </w:r>
            <w:r w:rsidRPr="006577D4">
              <w:rPr>
                <w:b/>
                <w:color w:val="008576"/>
                <w:vertAlign w:val="superscript"/>
              </w:rPr>
              <w:footnoteReference w:id="15"/>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(g)</w:t>
            </w:r>
          </w:p>
        </w:tc>
        <w:tc>
          <w:tcPr>
            <w:tcW w:w="5812" w:type="dxa"/>
          </w:tcPr>
          <w:p w:rsidR="000E7277" w:rsidRPr="006577D4" w:rsidRDefault="000E7277" w:rsidP="00D56FFF">
            <w:pPr>
              <w:spacing w:after="60"/>
              <w:ind w:left="57" w:right="57"/>
              <w:rPr>
                <w:color w:val="008576"/>
              </w:rPr>
            </w:pPr>
            <w:r w:rsidRPr="006577D4">
              <w:rPr>
                <w:color w:val="008576"/>
              </w:rPr>
              <w:t xml:space="preserve">Annual HH Total SVA Specified Charges </w:t>
            </w:r>
          </w:p>
        </w:tc>
        <w:tc>
          <w:tcPr>
            <w:tcW w:w="1646" w:type="dxa"/>
          </w:tcPr>
          <w:p w:rsidR="000E7277" w:rsidRPr="006577D4" w:rsidRDefault="000E7277" w:rsidP="00D56FFF">
            <w:pPr>
              <w:spacing w:after="60"/>
              <w:ind w:left="57" w:right="57"/>
              <w:rPr>
                <w:color w:val="008576"/>
              </w:rPr>
            </w:pPr>
            <w:r w:rsidRPr="006577D4">
              <w:rPr>
                <w:color w:val="008576"/>
              </w:rPr>
              <w:t>£10,114.79</w:t>
            </w:r>
            <w:r w:rsidRPr="006577D4">
              <w:rPr>
                <w:color w:val="008576"/>
                <w:vertAlign w:val="superscript"/>
              </w:rPr>
              <w:footnoteReference w:id="16"/>
            </w:r>
          </w:p>
        </w:tc>
      </w:tr>
      <w:tr w:rsidR="000E7277" w:rsidRPr="006577D4" w:rsidTr="00D56FFF">
        <w:trPr>
          <w:cantSplit/>
          <w:trHeight w:val="397"/>
        </w:trPr>
        <w:tc>
          <w:tcPr>
            <w:tcW w:w="563" w:type="dxa"/>
          </w:tcPr>
          <w:p w:rsidR="000E7277" w:rsidRPr="006577D4" w:rsidRDefault="000E7277" w:rsidP="00D56FFF">
            <w:pPr>
              <w:spacing w:after="60"/>
              <w:ind w:left="57" w:right="57"/>
              <w:rPr>
                <w:color w:val="008576"/>
              </w:rPr>
            </w:pPr>
            <w:r w:rsidRPr="006577D4">
              <w:rPr>
                <w:color w:val="008576"/>
              </w:rPr>
              <w:t>(h)</w:t>
            </w:r>
          </w:p>
        </w:tc>
        <w:tc>
          <w:tcPr>
            <w:tcW w:w="5812" w:type="dxa"/>
          </w:tcPr>
          <w:p w:rsidR="000E7277" w:rsidRPr="006577D4" w:rsidRDefault="000E7277" w:rsidP="00D56FFF">
            <w:pPr>
              <w:spacing w:after="60"/>
              <w:ind w:left="57" w:right="57"/>
              <w:rPr>
                <w:color w:val="008576"/>
              </w:rPr>
            </w:pPr>
            <w:r w:rsidRPr="006577D4">
              <w:rPr>
                <w:color w:val="008576"/>
              </w:rPr>
              <w:t xml:space="preserve">Annual NHH Total SVA Specified Charges </w:t>
            </w:r>
          </w:p>
        </w:tc>
        <w:tc>
          <w:tcPr>
            <w:tcW w:w="1646" w:type="dxa"/>
          </w:tcPr>
          <w:p w:rsidR="000E7277" w:rsidRPr="006577D4" w:rsidRDefault="000E7277" w:rsidP="00D56FFF">
            <w:pPr>
              <w:spacing w:after="60"/>
              <w:ind w:left="57" w:right="57"/>
              <w:rPr>
                <w:color w:val="008576"/>
              </w:rPr>
            </w:pPr>
            <w:r w:rsidRPr="006577D4">
              <w:rPr>
                <w:color w:val="008576"/>
              </w:rPr>
              <w:t>£1,767,914.29</w:t>
            </w:r>
            <w:r w:rsidRPr="006577D4">
              <w:rPr>
                <w:color w:val="008576"/>
                <w:vertAlign w:val="superscript"/>
              </w:rPr>
              <w:footnoteReference w:id="17"/>
            </w:r>
          </w:p>
        </w:tc>
      </w:tr>
    </w:tbl>
    <w:p w:rsidR="000E7277" w:rsidRPr="006577D4" w:rsidRDefault="000E7277" w:rsidP="000E7277">
      <w:pPr>
        <w:spacing w:after="180"/>
      </w:pPr>
    </w:p>
    <w:p w:rsidR="000E7277" w:rsidRPr="006577D4" w:rsidRDefault="000E7277" w:rsidP="000E7277">
      <w:pPr>
        <w:keepNext/>
        <w:spacing w:before="120" w:after="120"/>
        <w:outlineLvl w:val="4"/>
        <w:rPr>
          <w:b/>
          <w:bCs/>
          <w:color w:val="943634" w:themeColor="accent2" w:themeShade="BF"/>
          <w:sz w:val="21"/>
          <w:szCs w:val="21"/>
        </w:rPr>
      </w:pPr>
      <w:r w:rsidRPr="006577D4">
        <w:rPr>
          <w:b/>
          <w:bCs/>
          <w:color w:val="943634" w:themeColor="accent2" w:themeShade="BF"/>
          <w:sz w:val="21"/>
          <w:szCs w:val="21"/>
        </w:rPr>
        <w:t>Key points of the analysis</w:t>
      </w:r>
    </w:p>
    <w:p w:rsidR="000E7277" w:rsidRPr="006577D4" w:rsidRDefault="000E7277" w:rsidP="000E7277">
      <w:pPr>
        <w:spacing w:after="180"/>
      </w:pPr>
      <w:r w:rsidRPr="006577D4">
        <w:t xml:space="preserve">The proposed solution will result in the transfer of approximately £700,000 in SVA costs from HH to NHH </w:t>
      </w:r>
      <w:r w:rsidRPr="006577D4">
        <w:rPr>
          <w:rFonts w:ascii="Calibri" w:hAnsi="Calibri" w:cs="Calibri"/>
          <w:color w:val="000000" w:themeColor="text1"/>
          <w:sz w:val="22"/>
          <w:szCs w:val="22"/>
        </w:rPr>
        <w:t>based on the current split of NHH and HH MSIDs</w:t>
      </w:r>
      <w:r w:rsidRPr="006577D4">
        <w:t xml:space="preserve">. The estimated cost per MSID following implementation of the proposed solution is £0.005 pounds per MSID per Month. </w:t>
      </w:r>
    </w:p>
    <w:p w:rsidR="000E7277" w:rsidRPr="006577D4" w:rsidRDefault="000E7277" w:rsidP="000E7277">
      <w:pPr>
        <w:spacing w:after="180"/>
      </w:pPr>
      <w:r w:rsidRPr="006577D4">
        <w:t xml:space="preserve">The Workgroup discussed the analysis and agreed this was broadly in line with expectations and was not of significant impact to Suppliers in the overall costs of balancing and Settlement. The proposer noted that they were likely to incur a significant proportion of the costs but did not see it as an issue of concern. </w:t>
      </w:r>
    </w:p>
    <w:p w:rsidR="000E7277" w:rsidRPr="006577D4" w:rsidRDefault="000E7277" w:rsidP="000E7277">
      <w:pPr>
        <w:spacing w:after="180"/>
      </w:pPr>
    </w:p>
    <w:p w:rsidR="000E7277" w:rsidRPr="006577D4" w:rsidRDefault="000E7277" w:rsidP="000E7277">
      <w:pPr>
        <w:keepNext/>
        <w:spacing w:before="120" w:after="120"/>
        <w:outlineLvl w:val="4"/>
        <w:rPr>
          <w:b/>
          <w:bCs/>
          <w:color w:val="943634" w:themeColor="accent2" w:themeShade="BF"/>
          <w:sz w:val="21"/>
          <w:szCs w:val="21"/>
        </w:rPr>
      </w:pPr>
      <w:r w:rsidRPr="006577D4">
        <w:rPr>
          <w:b/>
          <w:bCs/>
          <w:color w:val="943634" w:themeColor="accent2" w:themeShade="BF"/>
          <w:sz w:val="21"/>
          <w:szCs w:val="21"/>
        </w:rPr>
        <w:lastRenderedPageBreak/>
        <w:t>Double charging</w:t>
      </w:r>
    </w:p>
    <w:p w:rsidR="000E7277" w:rsidRPr="006577D4" w:rsidRDefault="000E7277" w:rsidP="000E7277">
      <w:pPr>
        <w:spacing w:after="180"/>
      </w:pPr>
      <w:r w:rsidRPr="006577D4">
        <w:t>A respondent to the Assessment Process Consultation raised concerns over the potential for double charging</w:t>
      </w:r>
      <w:r>
        <w:t xml:space="preserve"> of MSIDs</w:t>
      </w:r>
      <w:r w:rsidRPr="006577D4">
        <w:t xml:space="preserve"> following </w:t>
      </w:r>
      <w:r>
        <w:t>a Change of Supplier (</w:t>
      </w:r>
      <w:proofErr w:type="spellStart"/>
      <w:r>
        <w:t>CoS</w:t>
      </w:r>
      <w:proofErr w:type="spellEnd"/>
      <w:r>
        <w:t>)</w:t>
      </w:r>
      <w:r w:rsidRPr="006577D4">
        <w:t xml:space="preserve"> event in </w:t>
      </w:r>
      <w:r>
        <w:t>a</w:t>
      </w:r>
      <w:r w:rsidRPr="006577D4">
        <w:t xml:space="preserve"> given month</w:t>
      </w:r>
      <w:r>
        <w:t>:</w:t>
      </w:r>
    </w:p>
    <w:p w:rsidR="000E7277" w:rsidRPr="006577D4" w:rsidRDefault="000E7277" w:rsidP="000E7277">
      <w:pPr>
        <w:spacing w:after="180"/>
      </w:pPr>
      <w:r w:rsidRPr="006577D4">
        <w:t xml:space="preserve">“How will </w:t>
      </w:r>
      <w:r>
        <w:t>M</w:t>
      </w:r>
      <w:r w:rsidRPr="006577D4">
        <w:t>eters which change Supplier during a month be charged? The detailed solution should avoid double charging. For example, a charge based on numbers registered to a Supplier on a particular day of the month. How will cost-recovery mismatches be managed by ELEXON? Will they be wrapped up in net main costs during the year, or somehow reconciled after year end?”</w:t>
      </w:r>
    </w:p>
    <w:p w:rsidR="000E7277" w:rsidRPr="006F1F28" w:rsidRDefault="000E7277" w:rsidP="000E7277">
      <w:pPr>
        <w:pStyle w:val="BodyText"/>
        <w:rPr>
          <w:color w:val="FF0000"/>
        </w:rPr>
      </w:pPr>
      <w:r w:rsidRPr="006577D4">
        <w:t xml:space="preserve">The Workgroup considered that this was an </w:t>
      </w:r>
      <w:r>
        <w:t xml:space="preserve">existing </w:t>
      </w:r>
      <w:r w:rsidRPr="006577D4">
        <w:t xml:space="preserve">issue under the </w:t>
      </w:r>
      <w:r>
        <w:t>current</w:t>
      </w:r>
      <w:r w:rsidRPr="006577D4">
        <w:t xml:space="preserve"> cost recovery structure. Currently any discrepancy and all double charging are resolved through the reconciliation process as set out in </w:t>
      </w:r>
      <w:r>
        <w:t xml:space="preserve">BSC </w:t>
      </w:r>
      <w:r w:rsidRPr="006577D4">
        <w:t>Section D</w:t>
      </w:r>
      <w:r>
        <w:t xml:space="preserve"> ‘BSC Cost Recovery and Participation Charges’, clause </w:t>
      </w:r>
      <w:r w:rsidRPr="006577D4">
        <w:t>4</w:t>
      </w:r>
      <w:r>
        <w:t>.0 ‘Recovery of Net Annual Costs</w:t>
      </w:r>
      <w:r w:rsidRPr="006577D4">
        <w:t xml:space="preserve"> of the BSC</w:t>
      </w:r>
      <w:r>
        <w:t>’</w:t>
      </w:r>
      <w:r w:rsidRPr="006577D4">
        <w:t xml:space="preserve">. Under the </w:t>
      </w:r>
      <w:r>
        <w:t>proposed</w:t>
      </w:r>
      <w:r w:rsidRPr="006577D4">
        <w:t xml:space="preserve"> solution this </w:t>
      </w:r>
      <w:r>
        <w:t>would</w:t>
      </w:r>
      <w:r w:rsidRPr="006577D4">
        <w:t xml:space="preserve"> continue,</w:t>
      </w:r>
      <w:r>
        <w:t xml:space="preserve"> with</w:t>
      </w:r>
      <w:r w:rsidRPr="006577D4">
        <w:t xml:space="preserve"> any surplus or shortfall in the amount of SVA Costs recovered across the year be</w:t>
      </w:r>
      <w:r>
        <w:t>ing</w:t>
      </w:r>
      <w:r w:rsidRPr="006577D4">
        <w:t xml:space="preserve"> allocated to the Net Main Costs and recovered using the Main Funding Share. The Workgroup agree</w:t>
      </w:r>
      <w:r>
        <w:t>d</w:t>
      </w:r>
      <w:r w:rsidRPr="006577D4">
        <w:t xml:space="preserve"> that </w:t>
      </w:r>
      <w:r>
        <w:t xml:space="preserve">a </w:t>
      </w:r>
      <w:r w:rsidRPr="006577D4">
        <w:t>further amendment should be made to the Legal text to specify that the count of MSIDs registered to each Supplier</w:t>
      </w:r>
      <w:r>
        <w:t>,</w:t>
      </w:r>
      <w:r w:rsidRPr="006577D4">
        <w:t xml:space="preserve"> upon which the SVA (Consumption) Charges would be split, should be </w:t>
      </w:r>
      <w:r>
        <w:t>based</w:t>
      </w:r>
      <w:r w:rsidRPr="006577D4">
        <w:t xml:space="preserve"> on </w:t>
      </w:r>
      <w:r>
        <w:t>who was the registrant on</w:t>
      </w:r>
      <w:r w:rsidRPr="006577D4">
        <w:t xml:space="preserve"> first day of every month.  The Workgroup suggested this additional change would bring further clarity to the charging calculation and help Suppliers forecast their liability.</w:t>
      </w:r>
    </w:p>
    <w:p w:rsidR="007D0D66" w:rsidRDefault="007D0D66" w:rsidP="007D0D66">
      <w:pPr>
        <w:pStyle w:val="BodyText"/>
      </w:pPr>
    </w:p>
    <w:p w:rsidR="00661737" w:rsidRDefault="00661737" w:rsidP="00661737">
      <w:pPr>
        <w:pStyle w:val="BodyText"/>
      </w:pPr>
    </w:p>
    <w:p w:rsidR="00AE5701" w:rsidRDefault="00AE5701" w:rsidP="00661737">
      <w:pPr>
        <w:pStyle w:val="BodyText"/>
      </w:pPr>
    </w:p>
    <w:p w:rsidR="00AE5701" w:rsidRDefault="00AE5701" w:rsidP="00661737">
      <w:pPr>
        <w:pStyle w:val="BodyText"/>
      </w:pPr>
    </w:p>
    <w:p w:rsidR="007D0D66" w:rsidRDefault="007D0D66" w:rsidP="007D0D66">
      <w:pPr>
        <w:pStyle w:val="BodyText"/>
        <w:sectPr w:rsidR="007D0D66" w:rsidSect="00526E7D">
          <w:pgSz w:w="11906" w:h="16838" w:code="9"/>
          <w:pgMar w:top="567" w:right="2722" w:bottom="567" w:left="1134" w:header="284" w:footer="284" w:gutter="0"/>
          <w:cols w:space="708"/>
          <w:titlePg/>
          <w:docGrid w:linePitch="360"/>
        </w:sectPr>
      </w:pPr>
    </w:p>
    <w:p w:rsidR="00DE4228" w:rsidRDefault="00DE4228" w:rsidP="00DE4228">
      <w:pPr>
        <w:pStyle w:val="Heading8"/>
      </w:pPr>
      <w:bookmarkStart w:id="9" w:name="_Toc371927778"/>
      <w:bookmarkStart w:id="10" w:name="_Toc467066302"/>
      <w:r>
        <w:lastRenderedPageBreak/>
        <w:t>Workgroup’s Conclusions</w:t>
      </w:r>
      <w:bookmarkEnd w:id="9"/>
      <w:bookmarkEnd w:id="10"/>
    </w:p>
    <w:p w:rsidR="00FD0335" w:rsidRPr="00A46E04" w:rsidRDefault="00FD0335" w:rsidP="00FD0335">
      <w:pPr>
        <w:pStyle w:val="Heading4"/>
      </w:pPr>
      <w:r>
        <w:t>Final views against the Applicable BSC Objectives</w:t>
      </w:r>
    </w:p>
    <w:p w:rsidR="00FD0335" w:rsidRDefault="00FD0335" w:rsidP="00FD0335">
      <w:pPr>
        <w:pStyle w:val="BodyText"/>
      </w:pPr>
      <w:r>
        <w:t>The Workgroup has provided its final views against the Applicable BSC Objectives.</w:t>
      </w: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FD0335" w:rsidRPr="00720A77" w:rsidTr="00D56FFF">
        <w:trPr>
          <w:cantSplit/>
          <w:trHeight w:val="397"/>
          <w:tblHeader/>
        </w:trPr>
        <w:tc>
          <w:tcPr>
            <w:tcW w:w="8021" w:type="dxa"/>
            <w:gridSpan w:val="3"/>
            <w:tcBorders>
              <w:bottom w:val="single" w:sz="8" w:space="0" w:color="CCE0DA"/>
            </w:tcBorders>
            <w:shd w:val="clear" w:color="auto" w:fill="CCE0DA"/>
            <w:vAlign w:val="center"/>
          </w:tcPr>
          <w:p w:rsidR="00FD0335" w:rsidRPr="00720A77" w:rsidRDefault="00FD0335" w:rsidP="00D56FFF">
            <w:pPr>
              <w:pStyle w:val="TableTitle"/>
              <w:keepNext/>
            </w:pPr>
            <w:r>
              <w:t>Does P346 better facilitate the Applicable BSC Objectives?</w:t>
            </w:r>
          </w:p>
        </w:tc>
      </w:tr>
      <w:tr w:rsidR="00FD0335" w:rsidTr="00D56FFF">
        <w:trPr>
          <w:cantSplit/>
          <w:trHeight w:val="397"/>
          <w:tblHeader/>
        </w:trPr>
        <w:tc>
          <w:tcPr>
            <w:tcW w:w="536" w:type="dxa"/>
            <w:tcBorders>
              <w:top w:val="single" w:sz="8" w:space="0" w:color="CCE0DA"/>
            </w:tcBorders>
          </w:tcPr>
          <w:p w:rsidR="00FD0335" w:rsidRPr="00720A77" w:rsidRDefault="00FD0335" w:rsidP="00D56FFF">
            <w:pPr>
              <w:pStyle w:val="TableColumnHeading"/>
              <w:keepNext/>
            </w:pPr>
            <w:proofErr w:type="spellStart"/>
            <w:r>
              <w:t>Obj</w:t>
            </w:r>
            <w:proofErr w:type="spellEnd"/>
          </w:p>
        </w:tc>
        <w:tc>
          <w:tcPr>
            <w:tcW w:w="3600" w:type="dxa"/>
            <w:tcBorders>
              <w:top w:val="single" w:sz="8" w:space="0" w:color="CCE0DA"/>
            </w:tcBorders>
          </w:tcPr>
          <w:p w:rsidR="00FD0335" w:rsidRPr="00720A77" w:rsidRDefault="00FD0335" w:rsidP="00D56FFF">
            <w:pPr>
              <w:pStyle w:val="TableColumnHeading"/>
              <w:keepNext/>
            </w:pPr>
            <w:r>
              <w:t xml:space="preserve">Proposer’s </w:t>
            </w:r>
            <w:r w:rsidRPr="00326D37">
              <w:t>Views</w:t>
            </w:r>
          </w:p>
        </w:tc>
        <w:tc>
          <w:tcPr>
            <w:tcW w:w="3885" w:type="dxa"/>
            <w:tcBorders>
              <w:top w:val="single" w:sz="8" w:space="0" w:color="CCE0DA"/>
            </w:tcBorders>
          </w:tcPr>
          <w:p w:rsidR="00FD0335" w:rsidRDefault="00FD0335" w:rsidP="00D56FFF">
            <w:pPr>
              <w:pStyle w:val="TableColumnHeading"/>
              <w:keepNext/>
            </w:pPr>
            <w:r>
              <w:t>Other Workgroup Members’ Views</w:t>
            </w:r>
            <w:r>
              <w:rPr>
                <w:rStyle w:val="FootnoteReference"/>
              </w:rPr>
              <w:footnoteReference w:id="18"/>
            </w:r>
          </w:p>
        </w:tc>
      </w:tr>
      <w:tr w:rsidR="00FD0335" w:rsidRPr="00720A77" w:rsidTr="00D56FFF">
        <w:trPr>
          <w:trHeight w:val="397"/>
        </w:trPr>
        <w:tc>
          <w:tcPr>
            <w:tcW w:w="536" w:type="dxa"/>
            <w:tcBorders>
              <w:top w:val="single" w:sz="8" w:space="0" w:color="CCE0DA"/>
            </w:tcBorders>
          </w:tcPr>
          <w:p w:rsidR="00FD0335" w:rsidRPr="00326D37" w:rsidRDefault="00FD0335" w:rsidP="00D56FFF">
            <w:pPr>
              <w:pStyle w:val="TableBodyText"/>
              <w:rPr>
                <w:b/>
              </w:rPr>
            </w:pPr>
            <w:r w:rsidRPr="00326D37">
              <w:rPr>
                <w:b/>
              </w:rPr>
              <w:t>(a)</w:t>
            </w:r>
          </w:p>
        </w:tc>
        <w:tc>
          <w:tcPr>
            <w:tcW w:w="3600" w:type="dxa"/>
            <w:tcBorders>
              <w:top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r w:rsidR="00FD0335" w:rsidRPr="00720A77"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(b)</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r w:rsidR="00FD0335"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(c)</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Yes – The proposed Modification will reduce costs for new market entrants with small numbers of registered MSIDs</w:t>
            </w:r>
          </w:p>
        </w:tc>
        <w:tc>
          <w:tcPr>
            <w:tcW w:w="3885" w:type="dxa"/>
            <w:tcBorders>
              <w:top w:val="single" w:sz="8" w:space="0" w:color="CCE0DA"/>
              <w:bottom w:val="single" w:sz="8" w:space="0" w:color="CCE0DA"/>
            </w:tcBorders>
          </w:tcPr>
          <w:p w:rsidR="00FD0335" w:rsidRDefault="00FD0335" w:rsidP="00D56FFF">
            <w:pPr>
              <w:pStyle w:val="TableBodyText"/>
              <w:numPr>
                <w:ilvl w:val="0"/>
                <w:numId w:val="38"/>
              </w:numPr>
              <w:ind w:left="360" w:hanging="180"/>
            </w:pPr>
            <w:r>
              <w:t>Yes (unanimous) – as Proposer</w:t>
            </w:r>
          </w:p>
        </w:tc>
      </w:tr>
      <w:tr w:rsidR="00FD0335" w:rsidRPr="00720A77"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(d)</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Yes – simplification of the SVA charging methodology promotes efficiency in implementation of the BSC arrangements</w:t>
            </w:r>
          </w:p>
        </w:tc>
        <w:tc>
          <w:tcPr>
            <w:tcW w:w="3885"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Yes (unanimous) – as Proposer</w:t>
            </w:r>
          </w:p>
        </w:tc>
      </w:tr>
      <w:tr w:rsidR="00FD0335" w:rsidRPr="00720A77"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(e)</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r w:rsidR="00FD0335" w:rsidRPr="00720A77" w:rsidTr="00D56FFF">
        <w:trPr>
          <w:trHeight w:val="397"/>
        </w:trPr>
        <w:tc>
          <w:tcPr>
            <w:tcW w:w="536" w:type="dxa"/>
            <w:tcBorders>
              <w:top w:val="single" w:sz="8" w:space="0" w:color="CCE0DA"/>
            </w:tcBorders>
          </w:tcPr>
          <w:p w:rsidR="00FD0335" w:rsidRPr="00326D37" w:rsidRDefault="00FD0335" w:rsidP="00D56FFF">
            <w:pPr>
              <w:pStyle w:val="TableBodyText"/>
              <w:rPr>
                <w:b/>
              </w:rPr>
            </w:pPr>
            <w:r>
              <w:rPr>
                <w:b/>
              </w:rPr>
              <w:t>(f)</w:t>
            </w:r>
          </w:p>
        </w:tc>
        <w:tc>
          <w:tcPr>
            <w:tcW w:w="3600" w:type="dxa"/>
            <w:tcBorders>
              <w:top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bl>
    <w:p w:rsidR="00FD0335" w:rsidRDefault="00FD0335" w:rsidP="00FD0335">
      <w:pPr>
        <w:pStyle w:val="BodyText"/>
        <w:rPr>
          <w:b/>
        </w:rPr>
      </w:pPr>
    </w:p>
    <w:p w:rsidR="00FD0335" w:rsidRDefault="00FD0335" w:rsidP="00FD0335">
      <w:pPr>
        <w:pStyle w:val="BodyText"/>
        <w:rPr>
          <w:b/>
        </w:rPr>
      </w:pPr>
      <w:r w:rsidRPr="00C67EB5">
        <w:rPr>
          <w:b/>
        </w:rPr>
        <w:t>The Workgro</w:t>
      </w:r>
      <w:r>
        <w:rPr>
          <w:b/>
        </w:rPr>
        <w:t>up unanimously believe that P346</w:t>
      </w:r>
      <w:r w:rsidRPr="00C67EB5">
        <w:rPr>
          <w:b/>
        </w:rPr>
        <w:t xml:space="preserve"> does better facilitate the Applicable BSC objectives compare</w:t>
      </w:r>
      <w:r>
        <w:rPr>
          <w:b/>
        </w:rPr>
        <w:t xml:space="preserve">d to the current baseline. It therefore unanimously </w:t>
      </w:r>
      <w:r w:rsidRPr="00C67EB5">
        <w:rPr>
          <w:b/>
        </w:rPr>
        <w:t>recommend</w:t>
      </w:r>
      <w:r>
        <w:rPr>
          <w:b/>
        </w:rPr>
        <w:t>s</w:t>
      </w:r>
      <w:r w:rsidRPr="00C67EB5">
        <w:rPr>
          <w:b/>
        </w:rPr>
        <w:t xml:space="preserve"> </w:t>
      </w:r>
      <w:r>
        <w:rPr>
          <w:b/>
        </w:rPr>
        <w:t>that P346 should be approved.</w:t>
      </w:r>
    </w:p>
    <w:p w:rsidR="00FD0335" w:rsidRPr="006577D4" w:rsidRDefault="00FD0335" w:rsidP="00FD0335">
      <w:pPr>
        <w:keepNext/>
        <w:spacing w:before="120" w:after="120"/>
        <w:outlineLvl w:val="4"/>
        <w:rPr>
          <w:b/>
          <w:bCs/>
          <w:color w:val="943634" w:themeColor="accent2" w:themeShade="BF"/>
          <w:sz w:val="21"/>
          <w:szCs w:val="21"/>
        </w:rPr>
      </w:pPr>
      <w:r w:rsidRPr="006577D4">
        <w:rPr>
          <w:b/>
          <w:bCs/>
          <w:color w:val="943634" w:themeColor="accent2" w:themeShade="BF"/>
          <w:sz w:val="21"/>
          <w:szCs w:val="21"/>
        </w:rPr>
        <w:t>Assessment Consultation respondent views on the Applicable BSC Objectives</w:t>
      </w:r>
    </w:p>
    <w:p w:rsidR="00FD0335" w:rsidRPr="006577D4" w:rsidRDefault="00FD0335" w:rsidP="00FD0335">
      <w:pPr>
        <w:spacing w:after="180"/>
      </w:pPr>
      <w:r w:rsidRPr="006577D4">
        <w:t>ELEXON received 5 responses to the Assessment Consultation, of which four respondents agreed that P346 does better facilitate the applicable BSC objectives. One respondent was neutral</w:t>
      </w:r>
      <w:r>
        <w:t>, stating the following</w:t>
      </w:r>
      <w:r w:rsidRPr="006577D4">
        <w:t xml:space="preserve">: </w:t>
      </w:r>
    </w:p>
    <w:p w:rsidR="00FD0335" w:rsidRPr="006577D4" w:rsidRDefault="00FD0335" w:rsidP="00FD0335">
      <w:pPr>
        <w:numPr>
          <w:ilvl w:val="0"/>
          <w:numId w:val="45"/>
        </w:numPr>
        <w:spacing w:after="180"/>
      </w:pPr>
      <w:r w:rsidRPr="006577D4">
        <w:t>The proposal has an advantage in being simple and understandable, and in bein</w:t>
      </w:r>
      <w:r>
        <w:t>g equitable between HH and NHH M</w:t>
      </w:r>
      <w:r w:rsidRPr="006577D4">
        <w:t xml:space="preserve">etering for any given site, and this might help it better meet BSC Objectives (c) concerning competition and (d) concerning efficiency in implementation of the BSC arrangements. </w:t>
      </w:r>
    </w:p>
    <w:p w:rsidR="00FD0335" w:rsidRDefault="00FD0335" w:rsidP="00FD0335">
      <w:pPr>
        <w:pStyle w:val="BodyText"/>
      </w:pPr>
      <w:r w:rsidRPr="006577D4">
        <w:t>The additional complexity of the SVA NHH arrangements, particularly profiling, involves additional costs, and it could be considered reason</w:t>
      </w:r>
      <w:r>
        <w:t>able for the population of NHH M</w:t>
      </w:r>
      <w:r w:rsidRPr="006577D4">
        <w:t>eters to contribute proportionally more towards the central SVA costs than the SVA HH population.  The proposal as consulted on would achieve this while the NHH population remains much larger, although not in a quantifiably cost-reflective basis. A more cost-reflective charging approach would be more complicated, and the benefits may well not justify the costs and complexity.</w:t>
      </w:r>
    </w:p>
    <w:p w:rsidR="00FD0335" w:rsidRPr="00415FE0" w:rsidRDefault="00FD0335" w:rsidP="00FD0335">
      <w:pPr>
        <w:pStyle w:val="BodyText"/>
        <w:rPr>
          <w:color w:val="FF0000"/>
        </w:rPr>
      </w:pPr>
    </w:p>
    <w:p w:rsidR="00FD0335" w:rsidRDefault="00FD0335" w:rsidP="00FD0335">
      <w:pPr>
        <w:pStyle w:val="Heading5"/>
      </w:pPr>
      <w:r>
        <w:lastRenderedPageBreak/>
        <w:t>Report Phase consultation Responses</w:t>
      </w:r>
    </w:p>
    <w:p w:rsidR="00FD0335" w:rsidRPr="001C1162" w:rsidRDefault="00FD0335" w:rsidP="00FD0335">
      <w:pPr>
        <w:pStyle w:val="BodyText"/>
      </w:pPr>
      <w:r>
        <w:t xml:space="preserve">The nine respondents to the Report Phase Consultation were unanimously supportive of P346 better facilitating applicable BSC Objectives (c) and (d). </w:t>
      </w: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FD0335" w:rsidRPr="00720A77" w:rsidTr="00D56FFF">
        <w:trPr>
          <w:cantSplit/>
          <w:trHeight w:val="397"/>
          <w:tblHeader/>
        </w:trPr>
        <w:tc>
          <w:tcPr>
            <w:tcW w:w="8021" w:type="dxa"/>
            <w:gridSpan w:val="3"/>
            <w:tcBorders>
              <w:bottom w:val="single" w:sz="8" w:space="0" w:color="CCE0DA"/>
            </w:tcBorders>
            <w:shd w:val="clear" w:color="auto" w:fill="CCE0DA"/>
            <w:vAlign w:val="center"/>
          </w:tcPr>
          <w:p w:rsidR="00FD0335" w:rsidRPr="00720A77" w:rsidRDefault="00FD0335" w:rsidP="00D56FFF">
            <w:pPr>
              <w:pStyle w:val="TableTitle"/>
              <w:keepNext/>
            </w:pPr>
            <w:r>
              <w:t>Does P346 better facilitate the Applicable BSC Objectives?</w:t>
            </w:r>
          </w:p>
        </w:tc>
      </w:tr>
      <w:tr w:rsidR="00FD0335" w:rsidTr="00D56FFF">
        <w:trPr>
          <w:cantSplit/>
          <w:trHeight w:val="397"/>
          <w:tblHeader/>
        </w:trPr>
        <w:tc>
          <w:tcPr>
            <w:tcW w:w="536" w:type="dxa"/>
            <w:tcBorders>
              <w:top w:val="single" w:sz="8" w:space="0" w:color="CCE0DA"/>
            </w:tcBorders>
          </w:tcPr>
          <w:p w:rsidR="00FD0335" w:rsidRPr="00720A77" w:rsidRDefault="00FD0335" w:rsidP="00D56FFF">
            <w:pPr>
              <w:pStyle w:val="TableColumnHeading"/>
              <w:keepNext/>
            </w:pPr>
            <w:proofErr w:type="spellStart"/>
            <w:r>
              <w:t>Obj</w:t>
            </w:r>
            <w:proofErr w:type="spellEnd"/>
          </w:p>
        </w:tc>
        <w:tc>
          <w:tcPr>
            <w:tcW w:w="3600" w:type="dxa"/>
            <w:tcBorders>
              <w:top w:val="single" w:sz="8" w:space="0" w:color="CCE0DA"/>
            </w:tcBorders>
          </w:tcPr>
          <w:p w:rsidR="00FD0335" w:rsidRPr="00720A77" w:rsidRDefault="00FD0335" w:rsidP="00D56FFF">
            <w:pPr>
              <w:pStyle w:val="TableColumnHeading"/>
              <w:keepNext/>
            </w:pPr>
            <w:r>
              <w:t xml:space="preserve">Proposer’s </w:t>
            </w:r>
            <w:r w:rsidRPr="00326D37">
              <w:t>Views</w:t>
            </w:r>
          </w:p>
        </w:tc>
        <w:tc>
          <w:tcPr>
            <w:tcW w:w="3885" w:type="dxa"/>
            <w:tcBorders>
              <w:top w:val="single" w:sz="8" w:space="0" w:color="CCE0DA"/>
            </w:tcBorders>
          </w:tcPr>
          <w:p w:rsidR="00FD0335" w:rsidRDefault="00FD0335" w:rsidP="00D56FFF">
            <w:pPr>
              <w:pStyle w:val="TableColumnHeading"/>
              <w:keepNext/>
            </w:pPr>
            <w:r>
              <w:t>Report Phase Consultation Respondents</w:t>
            </w:r>
          </w:p>
        </w:tc>
      </w:tr>
      <w:tr w:rsidR="00FD0335" w:rsidRPr="00720A77" w:rsidTr="00D56FFF">
        <w:trPr>
          <w:trHeight w:val="397"/>
        </w:trPr>
        <w:tc>
          <w:tcPr>
            <w:tcW w:w="536" w:type="dxa"/>
            <w:tcBorders>
              <w:top w:val="single" w:sz="8" w:space="0" w:color="CCE0DA"/>
            </w:tcBorders>
          </w:tcPr>
          <w:p w:rsidR="00FD0335" w:rsidRPr="00326D37" w:rsidRDefault="00FD0335" w:rsidP="00D56FFF">
            <w:pPr>
              <w:pStyle w:val="TableBodyText"/>
              <w:rPr>
                <w:b/>
              </w:rPr>
            </w:pPr>
            <w:r w:rsidRPr="00326D37">
              <w:rPr>
                <w:b/>
              </w:rPr>
              <w:t>(a)</w:t>
            </w:r>
          </w:p>
        </w:tc>
        <w:tc>
          <w:tcPr>
            <w:tcW w:w="3600" w:type="dxa"/>
            <w:tcBorders>
              <w:top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r w:rsidR="00FD0335" w:rsidRPr="00720A77"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(b)</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r w:rsidR="00FD0335"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(c)</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Yes – The proposed Modification will reduce costs for new market entrants with small numbers of registered MSIDs</w:t>
            </w:r>
          </w:p>
        </w:tc>
        <w:tc>
          <w:tcPr>
            <w:tcW w:w="3885" w:type="dxa"/>
            <w:tcBorders>
              <w:top w:val="single" w:sz="8" w:space="0" w:color="CCE0DA"/>
              <w:bottom w:val="single" w:sz="8" w:space="0" w:color="CCE0DA"/>
            </w:tcBorders>
          </w:tcPr>
          <w:p w:rsidR="00FD0335" w:rsidRDefault="00FD0335" w:rsidP="00D56FFF">
            <w:pPr>
              <w:pStyle w:val="TableBodyText"/>
              <w:numPr>
                <w:ilvl w:val="0"/>
                <w:numId w:val="38"/>
              </w:numPr>
              <w:ind w:left="360" w:hanging="180"/>
            </w:pPr>
            <w:r>
              <w:t>Yes (unanimous) – as Proposer</w:t>
            </w:r>
          </w:p>
        </w:tc>
      </w:tr>
      <w:tr w:rsidR="00FD0335" w:rsidRPr="00720A77"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(d)</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Yes – simplification of the SVA charging methodology promotes efficiency in implementation of the BSC arrangements</w:t>
            </w:r>
          </w:p>
        </w:tc>
        <w:tc>
          <w:tcPr>
            <w:tcW w:w="3885"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Yes (unanimous) – as Proposer</w:t>
            </w:r>
          </w:p>
        </w:tc>
      </w:tr>
      <w:tr w:rsidR="00FD0335" w:rsidRPr="00720A77" w:rsidTr="00D56FFF">
        <w:trPr>
          <w:trHeight w:val="397"/>
        </w:trPr>
        <w:tc>
          <w:tcPr>
            <w:tcW w:w="536" w:type="dxa"/>
            <w:tcBorders>
              <w:top w:val="single" w:sz="8" w:space="0" w:color="CCE0DA"/>
              <w:bottom w:val="single" w:sz="8" w:space="0" w:color="CCE0DA"/>
            </w:tcBorders>
          </w:tcPr>
          <w:p w:rsidR="00FD0335" w:rsidRPr="00326D37" w:rsidRDefault="00FD0335" w:rsidP="00D56FFF">
            <w:pPr>
              <w:pStyle w:val="TableBodyText"/>
              <w:rPr>
                <w:b/>
              </w:rPr>
            </w:pPr>
            <w:r w:rsidRPr="00326D37">
              <w:rPr>
                <w:b/>
              </w:rPr>
              <w:t>(e)</w:t>
            </w:r>
          </w:p>
        </w:tc>
        <w:tc>
          <w:tcPr>
            <w:tcW w:w="3600"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bottom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r w:rsidR="00FD0335" w:rsidRPr="00720A77" w:rsidTr="00D56FFF">
        <w:trPr>
          <w:trHeight w:val="397"/>
        </w:trPr>
        <w:tc>
          <w:tcPr>
            <w:tcW w:w="536" w:type="dxa"/>
            <w:tcBorders>
              <w:top w:val="single" w:sz="8" w:space="0" w:color="CCE0DA"/>
            </w:tcBorders>
          </w:tcPr>
          <w:p w:rsidR="00FD0335" w:rsidRPr="00326D37" w:rsidRDefault="00FD0335" w:rsidP="00D56FFF">
            <w:pPr>
              <w:pStyle w:val="TableBodyText"/>
              <w:rPr>
                <w:b/>
              </w:rPr>
            </w:pPr>
            <w:r>
              <w:rPr>
                <w:b/>
              </w:rPr>
              <w:t>(f)</w:t>
            </w:r>
          </w:p>
        </w:tc>
        <w:tc>
          <w:tcPr>
            <w:tcW w:w="3600" w:type="dxa"/>
            <w:tcBorders>
              <w:top w:val="single" w:sz="8" w:space="0" w:color="CCE0DA"/>
            </w:tcBorders>
          </w:tcPr>
          <w:p w:rsidR="00FD0335" w:rsidRPr="00720A77" w:rsidRDefault="00FD0335" w:rsidP="00D56FFF">
            <w:pPr>
              <w:pStyle w:val="TableBodyText"/>
              <w:numPr>
                <w:ilvl w:val="0"/>
                <w:numId w:val="38"/>
              </w:numPr>
              <w:ind w:left="360" w:hanging="180"/>
            </w:pPr>
            <w:r>
              <w:t>Neutral – No impact</w:t>
            </w:r>
          </w:p>
        </w:tc>
        <w:tc>
          <w:tcPr>
            <w:tcW w:w="3885" w:type="dxa"/>
            <w:tcBorders>
              <w:top w:val="single" w:sz="8" w:space="0" w:color="CCE0DA"/>
            </w:tcBorders>
          </w:tcPr>
          <w:p w:rsidR="00FD0335" w:rsidRPr="00720A77" w:rsidRDefault="00FD0335" w:rsidP="00D56FFF">
            <w:pPr>
              <w:pStyle w:val="TableBodyText"/>
              <w:numPr>
                <w:ilvl w:val="0"/>
                <w:numId w:val="38"/>
              </w:numPr>
              <w:ind w:left="360" w:hanging="180"/>
            </w:pPr>
            <w:r>
              <w:t>Neutral (unanimous) – as Proposer</w:t>
            </w:r>
          </w:p>
        </w:tc>
      </w:tr>
    </w:tbl>
    <w:p w:rsidR="00FD0335" w:rsidRPr="001C1162" w:rsidRDefault="00FD0335" w:rsidP="00FD0335">
      <w:pPr>
        <w:pStyle w:val="BodyText"/>
      </w:pPr>
    </w:p>
    <w:p w:rsidR="00FD0335" w:rsidRDefault="00FD0335" w:rsidP="00FD0335">
      <w:pPr>
        <w:pStyle w:val="Heading4"/>
      </w:pPr>
      <w:r>
        <w:t>Self-Governance</w:t>
      </w:r>
    </w:p>
    <w:p w:rsidR="00FD0335" w:rsidRDefault="00FD0335" w:rsidP="00FD0335">
      <w:pPr>
        <w:pStyle w:val="BodyText"/>
      </w:pPr>
      <w:r w:rsidRPr="00F1729D">
        <w:t>The Workgr</w:t>
      </w:r>
      <w:r>
        <w:t>oup unanimously agreed that P346</w:t>
      </w:r>
      <w:r w:rsidRPr="00F1729D">
        <w:t xml:space="preserve"> does meet the Self-Governance criteria and should therefore be treated as a Self-Governance Modification Proposal. </w:t>
      </w:r>
      <w:r>
        <w:t xml:space="preserve">Details of the Workgroup rational for Self-Governance can be found in Section 6. </w:t>
      </w:r>
      <w:r>
        <w:rPr>
          <w:noProof/>
        </w:rPr>
        <mc:AlternateContent>
          <mc:Choice Requires="wps">
            <w:drawing>
              <wp:anchor distT="0" distB="0" distL="114300" distR="114300" simplePos="0" relativeHeight="251684864" behindDoc="0" locked="1" layoutInCell="1" allowOverlap="1" wp14:anchorId="1CFC1F09" wp14:editId="0F3F578B">
                <wp:simplePos x="0" y="0"/>
                <wp:positionH relativeFrom="page">
                  <wp:posOffset>6019800</wp:posOffset>
                </wp:positionH>
                <wp:positionV relativeFrom="page">
                  <wp:posOffset>358140</wp:posOffset>
                </wp:positionV>
                <wp:extent cx="1332230" cy="7313295"/>
                <wp:effectExtent l="0" t="0" r="1270" b="190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313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E9518C" w:rsidRDefault="00D56FFF" w:rsidP="00D56FFF">
                                  <w:pPr>
                                    <w:pStyle w:val="Footer"/>
                                  </w:pPr>
                                  <w:r>
                                    <w:rPr>
                                      <w:noProof/>
                                    </w:rPr>
                                    <w:drawing>
                                      <wp:inline distT="0" distB="0" distL="0" distR="0" wp14:anchorId="23E99BF7" wp14:editId="54112381">
                                        <wp:extent cx="285750" cy="285750"/>
                                        <wp:effectExtent l="1905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D56FFF">
                              <w:trPr>
                                <w:trHeight w:val="340"/>
                              </w:trPr>
                              <w:tc>
                                <w:tcPr>
                                  <w:tcW w:w="2113" w:type="dxa"/>
                                  <w:vAlign w:val="center"/>
                                </w:tcPr>
                                <w:p w:rsidR="00D56FFF" w:rsidRPr="004F4B62" w:rsidRDefault="00D56FFF" w:rsidP="00D56FFF">
                                  <w:pPr>
                                    <w:pStyle w:val="Footer"/>
                                    <w:rPr>
                                      <w:b/>
                                    </w:rPr>
                                  </w:pPr>
                                  <w:r w:rsidRPr="004F4B62">
                                    <w:rPr>
                                      <w:b/>
                                    </w:rPr>
                                    <w:t>What are the Applicable BSC Objectives?</w:t>
                                  </w:r>
                                </w:p>
                              </w:tc>
                            </w:tr>
                            <w:tr w:rsidR="00D56FFF" w:rsidTr="00D56FFF">
                              <w:trPr>
                                <w:trHeight w:val="7126"/>
                              </w:trPr>
                              <w:tc>
                                <w:tcPr>
                                  <w:tcW w:w="2113" w:type="dxa"/>
                                  <w:tcBorders>
                                    <w:bottom w:val="nil"/>
                                  </w:tcBorders>
                                </w:tcPr>
                                <w:p w:rsidR="00D56FFF" w:rsidRDefault="00D56FFF" w:rsidP="00D56FFF">
                                  <w:pPr>
                                    <w:pStyle w:val="Footer"/>
                                  </w:pPr>
                                  <w:r w:rsidRPr="00306266">
                                    <w:t>(a</w:t>
                                  </w:r>
                                  <w:r>
                                    <w:t xml:space="preserve">) </w:t>
                                  </w:r>
                                  <w:r w:rsidRPr="00306266">
                                    <w:t>The efficient discharge by the Transmission Company of the obligations imposed upon</w:t>
                                  </w:r>
                                  <w:r>
                                    <w:t xml:space="preserve"> it by the Transmission Licence</w:t>
                                  </w:r>
                                </w:p>
                                <w:p w:rsidR="00D56FFF" w:rsidRPr="003B11CA" w:rsidRDefault="00D56FFF" w:rsidP="00D56FFF">
                                  <w:pPr>
                                    <w:pStyle w:val="Footer"/>
                                  </w:pPr>
                                </w:p>
                                <w:p w:rsidR="00D56FFF" w:rsidRDefault="00D56FFF" w:rsidP="00D56FFF">
                                  <w:pPr>
                                    <w:pStyle w:val="Footer"/>
                                  </w:pPr>
                                  <w:r w:rsidRPr="00306266">
                                    <w:t>(b) The efficient, economic and co-ordinated operation of the National Electricity Transmission System</w:t>
                                  </w:r>
                                </w:p>
                                <w:p w:rsidR="00D56FFF" w:rsidRPr="00306266" w:rsidRDefault="00D56FFF" w:rsidP="00D56FFF">
                                  <w:pPr>
                                    <w:pStyle w:val="Footer"/>
                                  </w:pPr>
                                </w:p>
                                <w:p w:rsidR="00D56FFF" w:rsidRDefault="00D56FFF" w:rsidP="00D56FFF">
                                  <w:pPr>
                                    <w:pStyle w:val="Footer"/>
                                  </w:pPr>
                                  <w:r w:rsidRPr="00306266">
                                    <w:t>(c) Promoting effective competition in the generation and supply of electricity and (so far as consistent therewith) promoting such competition in the sale and purchase of electricity</w:t>
                                  </w:r>
                                </w:p>
                                <w:p w:rsidR="00D56FFF" w:rsidRPr="00306266" w:rsidRDefault="00D56FFF" w:rsidP="00D56FFF">
                                  <w:pPr>
                                    <w:pStyle w:val="Footer"/>
                                  </w:pPr>
                                </w:p>
                                <w:p w:rsidR="00D56FFF" w:rsidRDefault="00D56FFF" w:rsidP="00D56FFF">
                                  <w:pPr>
                                    <w:pStyle w:val="Footer"/>
                                  </w:pPr>
                                  <w:r w:rsidRPr="00306266">
                                    <w:t>(d) Promoting efficiency in the implementation of the balancing and settlement arrangements</w:t>
                                  </w:r>
                                </w:p>
                                <w:p w:rsidR="00D56FFF" w:rsidRDefault="00D56FFF" w:rsidP="00D56FFF">
                                  <w:pPr>
                                    <w:pStyle w:val="Footer"/>
                                  </w:pPr>
                                </w:p>
                                <w:p w:rsidR="00D56FFF" w:rsidRDefault="00D56FFF" w:rsidP="00D56FFF">
                                  <w:pPr>
                                    <w:pStyle w:val="Footer"/>
                                  </w:pPr>
                                  <w:r>
                                    <w:t>(e) Compliance with the Electricity Regulation and any relevant legally binding decision of the European Commission and/or the Agency [for the Co-operation of Energy Regulators]</w:t>
                                  </w:r>
                                </w:p>
                                <w:p w:rsidR="00D56FFF" w:rsidRDefault="00D56FFF" w:rsidP="00D56FFF">
                                  <w:pPr>
                                    <w:pStyle w:val="Footer"/>
                                  </w:pPr>
                                </w:p>
                                <w:p w:rsidR="00D56FFF" w:rsidRPr="00E9518C" w:rsidRDefault="00D56FFF" w:rsidP="00D56FF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tc>
                            </w:tr>
                          </w:tbl>
                          <w:p w:rsidR="00D56FFF" w:rsidRPr="006C2760" w:rsidRDefault="00D56FFF" w:rsidP="00FD0335">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28" type="#_x0000_t202" style="position:absolute;margin-left:474pt;margin-top:28.2pt;width:104.9pt;height:575.8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E9518C" w:rsidRDefault="00D56FFF" w:rsidP="00D56FFF">
                            <w:pPr>
                              <w:pStyle w:val="Footer"/>
                            </w:pPr>
                            <w:r>
                              <w:rPr>
                                <w:noProof/>
                              </w:rPr>
                              <w:drawing>
                                <wp:inline distT="0" distB="0" distL="0" distR="0" wp14:anchorId="23E99BF7" wp14:editId="54112381">
                                  <wp:extent cx="285750" cy="285750"/>
                                  <wp:effectExtent l="1905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D56FFF">
                        <w:trPr>
                          <w:trHeight w:val="340"/>
                        </w:trPr>
                        <w:tc>
                          <w:tcPr>
                            <w:tcW w:w="2113" w:type="dxa"/>
                            <w:vAlign w:val="center"/>
                          </w:tcPr>
                          <w:p w:rsidR="00D56FFF" w:rsidRPr="004F4B62" w:rsidRDefault="00D56FFF" w:rsidP="00D56FFF">
                            <w:pPr>
                              <w:pStyle w:val="Footer"/>
                              <w:rPr>
                                <w:b/>
                              </w:rPr>
                            </w:pPr>
                            <w:r w:rsidRPr="004F4B62">
                              <w:rPr>
                                <w:b/>
                              </w:rPr>
                              <w:t>What are the Applicable BSC Objectives?</w:t>
                            </w:r>
                          </w:p>
                        </w:tc>
                      </w:tr>
                      <w:tr w:rsidR="00D56FFF" w:rsidTr="00D56FFF">
                        <w:trPr>
                          <w:trHeight w:val="7126"/>
                        </w:trPr>
                        <w:tc>
                          <w:tcPr>
                            <w:tcW w:w="2113" w:type="dxa"/>
                            <w:tcBorders>
                              <w:bottom w:val="nil"/>
                            </w:tcBorders>
                          </w:tcPr>
                          <w:p w:rsidR="00D56FFF" w:rsidRDefault="00D56FFF" w:rsidP="00D56FFF">
                            <w:pPr>
                              <w:pStyle w:val="Footer"/>
                            </w:pPr>
                            <w:r w:rsidRPr="00306266">
                              <w:t>(a</w:t>
                            </w:r>
                            <w:r>
                              <w:t xml:space="preserve">) </w:t>
                            </w:r>
                            <w:r w:rsidRPr="00306266">
                              <w:t>The efficient discharge by the Transmission Company of the obligations imposed upon</w:t>
                            </w:r>
                            <w:r>
                              <w:t xml:space="preserve"> it by the Transmission Licence</w:t>
                            </w:r>
                          </w:p>
                          <w:p w:rsidR="00D56FFF" w:rsidRPr="003B11CA" w:rsidRDefault="00D56FFF" w:rsidP="00D56FFF">
                            <w:pPr>
                              <w:pStyle w:val="Footer"/>
                            </w:pPr>
                          </w:p>
                          <w:p w:rsidR="00D56FFF" w:rsidRDefault="00D56FFF" w:rsidP="00D56FFF">
                            <w:pPr>
                              <w:pStyle w:val="Footer"/>
                            </w:pPr>
                            <w:r w:rsidRPr="00306266">
                              <w:t>(b) The efficient, economic and co-ordinated operation of the National Electricity Transmission System</w:t>
                            </w:r>
                          </w:p>
                          <w:p w:rsidR="00D56FFF" w:rsidRPr="00306266" w:rsidRDefault="00D56FFF" w:rsidP="00D56FFF">
                            <w:pPr>
                              <w:pStyle w:val="Footer"/>
                            </w:pPr>
                          </w:p>
                          <w:p w:rsidR="00D56FFF" w:rsidRDefault="00D56FFF" w:rsidP="00D56FFF">
                            <w:pPr>
                              <w:pStyle w:val="Footer"/>
                            </w:pPr>
                            <w:r w:rsidRPr="00306266">
                              <w:t>(c) Promoting effective competition in the generation and supply of electricity and (so far as consistent therewith) promoting such competition in the sale and purchase of electricity</w:t>
                            </w:r>
                          </w:p>
                          <w:p w:rsidR="00D56FFF" w:rsidRPr="00306266" w:rsidRDefault="00D56FFF" w:rsidP="00D56FFF">
                            <w:pPr>
                              <w:pStyle w:val="Footer"/>
                            </w:pPr>
                          </w:p>
                          <w:p w:rsidR="00D56FFF" w:rsidRDefault="00D56FFF" w:rsidP="00D56FFF">
                            <w:pPr>
                              <w:pStyle w:val="Footer"/>
                            </w:pPr>
                            <w:r w:rsidRPr="00306266">
                              <w:t>(d) Promoting efficiency in the implementation of the balancing and settlement arrangements</w:t>
                            </w:r>
                          </w:p>
                          <w:p w:rsidR="00D56FFF" w:rsidRDefault="00D56FFF" w:rsidP="00D56FFF">
                            <w:pPr>
                              <w:pStyle w:val="Footer"/>
                            </w:pPr>
                          </w:p>
                          <w:p w:rsidR="00D56FFF" w:rsidRDefault="00D56FFF" w:rsidP="00D56FFF">
                            <w:pPr>
                              <w:pStyle w:val="Footer"/>
                            </w:pPr>
                            <w:r>
                              <w:t>(e) Compliance with the Electricity Regulation and any relevant legally binding decision of the European Commission and/or the Agency [for the Co-operation of Energy Regulators]</w:t>
                            </w:r>
                          </w:p>
                          <w:p w:rsidR="00D56FFF" w:rsidRDefault="00D56FFF" w:rsidP="00D56FFF">
                            <w:pPr>
                              <w:pStyle w:val="Footer"/>
                            </w:pPr>
                          </w:p>
                          <w:p w:rsidR="00D56FFF" w:rsidRPr="00E9518C" w:rsidRDefault="00D56FFF" w:rsidP="00D56FF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tc>
                      </w:tr>
                    </w:tbl>
                    <w:p w:rsidR="00D56FFF" w:rsidRPr="006C2760" w:rsidRDefault="00D56FFF" w:rsidP="00FD0335">
                      <w:pPr>
                        <w:pStyle w:val="Footer"/>
                        <w:rPr>
                          <w:sz w:val="2"/>
                          <w:szCs w:val="2"/>
                        </w:rPr>
                      </w:pPr>
                    </w:p>
                  </w:txbxContent>
                </v:textbox>
                <w10:wrap anchorx="page" anchory="page"/>
                <w10:anchorlock/>
              </v:shape>
            </w:pict>
          </mc:Fallback>
        </mc:AlternateContent>
      </w:r>
    </w:p>
    <w:p w:rsidR="00FD0335" w:rsidRDefault="00FD0335" w:rsidP="00FD0335">
      <w:pPr>
        <w:pStyle w:val="Heading5"/>
      </w:pPr>
      <w:r>
        <w:t>Report Phase Consultation respondents views</w:t>
      </w:r>
    </w:p>
    <w:p w:rsidR="00FD0335" w:rsidRDefault="00FD0335" w:rsidP="00FD0335">
      <w:pPr>
        <w:pStyle w:val="BodyText"/>
      </w:pPr>
      <w:r>
        <w:t>Seven respondents agreed P346</w:t>
      </w:r>
      <w:r w:rsidRPr="00F1729D">
        <w:t xml:space="preserve"> does meet the Self-Governance criteria</w:t>
      </w:r>
      <w:r>
        <w:t xml:space="preserve"> and two had no comment.</w:t>
      </w:r>
    </w:p>
    <w:p w:rsidR="00FD0335" w:rsidRPr="00A44172" w:rsidRDefault="00FD0335" w:rsidP="00FD0335">
      <w:pPr>
        <w:pStyle w:val="BodyText"/>
      </w:pPr>
    </w:p>
    <w:p w:rsidR="00FD0335" w:rsidRDefault="00FD0335" w:rsidP="00FD0335">
      <w:pPr>
        <w:pStyle w:val="Heading4"/>
      </w:pPr>
      <w:r>
        <w:t>Implementation approach</w:t>
      </w:r>
    </w:p>
    <w:p w:rsidR="00FD0335" w:rsidRDefault="00FD0335" w:rsidP="00FD0335">
      <w:pPr>
        <w:pStyle w:val="BodyText"/>
      </w:pPr>
      <w:r>
        <w:t>The Workgroup unanimously recommend an Implementation Date for P346 of:</w:t>
      </w:r>
    </w:p>
    <w:p w:rsidR="00FD0335" w:rsidRDefault="00FD0335" w:rsidP="00FD0335">
      <w:pPr>
        <w:pStyle w:val="ListParagraph"/>
        <w:numPr>
          <w:ilvl w:val="0"/>
          <w:numId w:val="37"/>
        </w:numPr>
        <w:ind w:left="714" w:hanging="357"/>
      </w:pPr>
      <w:r>
        <w:rPr>
          <w:b/>
        </w:rPr>
        <w:t>1 April 2017</w:t>
      </w:r>
      <w:r>
        <w:t xml:space="preserve"> as part of a standalone BSC Release.</w:t>
      </w:r>
    </w:p>
    <w:p w:rsidR="00FD0335" w:rsidRDefault="00FD0335" w:rsidP="00FD0335">
      <w:pPr>
        <w:pStyle w:val="Heading5"/>
      </w:pPr>
      <w:r>
        <w:t>Report Phase Consultation respondents views</w:t>
      </w:r>
    </w:p>
    <w:p w:rsidR="00FD0335" w:rsidRDefault="00FD0335" w:rsidP="00FD0335">
      <w:pPr>
        <w:pStyle w:val="BodyText"/>
      </w:pPr>
      <w:r>
        <w:t>Seven respondents agreed with the Implementation approach. One respondent disagreed due to potential impacts on forward contracts. One respondent had no comment.</w:t>
      </w:r>
    </w:p>
    <w:p w:rsidR="00FD0335" w:rsidRDefault="00FD0335" w:rsidP="00FD0335">
      <w:pPr>
        <w:pStyle w:val="BodyText"/>
      </w:pPr>
    </w:p>
    <w:p w:rsidR="00FD0335" w:rsidRDefault="00FD0335" w:rsidP="00FD0335">
      <w:pPr>
        <w:pStyle w:val="Heading4"/>
      </w:pPr>
      <w:r>
        <w:t>Legal text changes</w:t>
      </w:r>
    </w:p>
    <w:p w:rsidR="00FD0335" w:rsidRDefault="00FD0335" w:rsidP="00FD0335">
      <w:pPr>
        <w:pStyle w:val="BodyText"/>
      </w:pPr>
      <w:r>
        <w:t>The Workgroup unanimously agreed with the draft legal text changes to the BSC, which can be found in Attachment A.</w:t>
      </w:r>
    </w:p>
    <w:p w:rsidR="00FD0335" w:rsidRDefault="00FD0335" w:rsidP="00FD0335">
      <w:pPr>
        <w:pStyle w:val="Heading5"/>
      </w:pPr>
      <w:r>
        <w:t>Report Phase Consultation respondents views</w:t>
      </w:r>
    </w:p>
    <w:p w:rsidR="00FD0335" w:rsidRPr="00FD0335" w:rsidRDefault="00FD0335" w:rsidP="00D56FFF">
      <w:pPr>
        <w:pStyle w:val="BodyText"/>
        <w:rPr>
          <w:color w:val="943634" w:themeColor="accent2" w:themeShade="BF"/>
        </w:rPr>
        <w:sectPr w:rsidR="00FD0335" w:rsidRPr="00FD0335" w:rsidSect="00526E7D">
          <w:pgSz w:w="11906" w:h="16838" w:code="9"/>
          <w:pgMar w:top="567" w:right="2722" w:bottom="567" w:left="1134" w:header="284" w:footer="284" w:gutter="0"/>
          <w:cols w:space="708"/>
          <w:titlePg/>
          <w:docGrid w:linePitch="360"/>
        </w:sectPr>
      </w:pPr>
      <w:r>
        <w:rPr>
          <w:noProof/>
        </w:rPr>
        <mc:AlternateContent>
          <mc:Choice Requires="wps">
            <w:drawing>
              <wp:anchor distT="0" distB="0" distL="114300" distR="114300" simplePos="0" relativeHeight="251683840" behindDoc="0" locked="1" layoutInCell="1" allowOverlap="1" wp14:anchorId="40665A9F" wp14:editId="31AF6B37">
                <wp:simplePos x="0" y="0"/>
                <wp:positionH relativeFrom="page">
                  <wp:posOffset>6019800</wp:posOffset>
                </wp:positionH>
                <wp:positionV relativeFrom="page">
                  <wp:posOffset>358140</wp:posOffset>
                </wp:positionV>
                <wp:extent cx="1332230" cy="7313295"/>
                <wp:effectExtent l="0" t="0" r="1270" b="190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313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E9518C" w:rsidRDefault="00D56FFF" w:rsidP="009C7F6C">
                                  <w:pPr>
                                    <w:pStyle w:val="Footer"/>
                                  </w:pPr>
                                  <w:r>
                                    <w:rPr>
                                      <w:noProof/>
                                    </w:rPr>
                                    <w:drawing>
                                      <wp:inline distT="0" distB="0" distL="0" distR="0" wp14:anchorId="31D0BA58" wp14:editId="2F89A074">
                                        <wp:extent cx="285750" cy="285750"/>
                                        <wp:effectExtent l="19050" t="0" r="0"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D56FFF">
                              <w:trPr>
                                <w:trHeight w:val="340"/>
                              </w:trPr>
                              <w:tc>
                                <w:tcPr>
                                  <w:tcW w:w="2113" w:type="dxa"/>
                                  <w:vAlign w:val="center"/>
                                </w:tcPr>
                                <w:p w:rsidR="00D56FFF" w:rsidRPr="004F4B62" w:rsidRDefault="00D56FFF" w:rsidP="009C7F6C">
                                  <w:pPr>
                                    <w:pStyle w:val="Footer"/>
                                    <w:rPr>
                                      <w:b/>
                                    </w:rPr>
                                  </w:pPr>
                                  <w:r w:rsidRPr="004F4B62">
                                    <w:rPr>
                                      <w:b/>
                                    </w:rPr>
                                    <w:t>What are the Applicable BSC Objectives?</w:t>
                                  </w:r>
                                </w:p>
                              </w:tc>
                            </w:tr>
                            <w:tr w:rsidR="00D56FFF" w:rsidTr="009C7F6C">
                              <w:trPr>
                                <w:trHeight w:val="7126"/>
                              </w:trPr>
                              <w:tc>
                                <w:tcPr>
                                  <w:tcW w:w="2113" w:type="dxa"/>
                                  <w:tcBorders>
                                    <w:bottom w:val="nil"/>
                                  </w:tcBorders>
                                </w:tcPr>
                                <w:p w:rsidR="00D56FFF" w:rsidRDefault="00D56FFF" w:rsidP="009C7F6C">
                                  <w:pPr>
                                    <w:pStyle w:val="Footer"/>
                                  </w:pPr>
                                  <w:r w:rsidRPr="00306266">
                                    <w:t>(a</w:t>
                                  </w:r>
                                  <w:r>
                                    <w:t xml:space="preserve">) </w:t>
                                  </w:r>
                                  <w:r w:rsidRPr="00306266">
                                    <w:t>The efficient discharge by the Transmission Company of the obligations imposed upon</w:t>
                                  </w:r>
                                  <w:r>
                                    <w:t xml:space="preserve"> it by the Transmission Licence</w:t>
                                  </w:r>
                                </w:p>
                                <w:p w:rsidR="00D56FFF" w:rsidRPr="003B11CA" w:rsidRDefault="00D56FFF" w:rsidP="009C7F6C">
                                  <w:pPr>
                                    <w:pStyle w:val="Footer"/>
                                  </w:pPr>
                                </w:p>
                                <w:p w:rsidR="00D56FFF" w:rsidRDefault="00D56FFF" w:rsidP="009C7F6C">
                                  <w:pPr>
                                    <w:pStyle w:val="Footer"/>
                                  </w:pPr>
                                  <w:r w:rsidRPr="00306266">
                                    <w:t>(b) The efficient, economic and co-ordinated operation of the National Electricity Transmission System</w:t>
                                  </w:r>
                                </w:p>
                                <w:p w:rsidR="00D56FFF" w:rsidRPr="00306266" w:rsidRDefault="00D56FFF" w:rsidP="009C7F6C">
                                  <w:pPr>
                                    <w:pStyle w:val="Footer"/>
                                  </w:pPr>
                                </w:p>
                                <w:p w:rsidR="00D56FFF" w:rsidRDefault="00D56FFF" w:rsidP="009C7F6C">
                                  <w:pPr>
                                    <w:pStyle w:val="Footer"/>
                                  </w:pPr>
                                  <w:r w:rsidRPr="00306266">
                                    <w:t>(c) Promoting effective competition in the generation and supply of electricity and (so far as consistent therewith) promoting such competition in the sale and purchase of electricity</w:t>
                                  </w:r>
                                </w:p>
                                <w:p w:rsidR="00D56FFF" w:rsidRPr="00306266" w:rsidRDefault="00D56FFF" w:rsidP="009C7F6C">
                                  <w:pPr>
                                    <w:pStyle w:val="Footer"/>
                                  </w:pPr>
                                </w:p>
                                <w:p w:rsidR="00D56FFF" w:rsidRDefault="00D56FFF" w:rsidP="009C7F6C">
                                  <w:pPr>
                                    <w:pStyle w:val="Footer"/>
                                  </w:pPr>
                                  <w:r w:rsidRPr="00306266">
                                    <w:t>(d) Promoting efficiency in the implementation of the balancing and settlement arrangements</w:t>
                                  </w:r>
                                </w:p>
                                <w:p w:rsidR="00D56FFF" w:rsidRDefault="00D56FFF" w:rsidP="009C7F6C">
                                  <w:pPr>
                                    <w:pStyle w:val="Footer"/>
                                  </w:pPr>
                                </w:p>
                                <w:p w:rsidR="00D56FFF" w:rsidRDefault="00D56FFF" w:rsidP="009C7F6C">
                                  <w:pPr>
                                    <w:pStyle w:val="Footer"/>
                                  </w:pPr>
                                  <w:r>
                                    <w:t>(e) Compliance with the Electricity Regulation and any relevant legally binding decision of the European Commission and/or the Agency [for the Co-operation of Energy Regulators]</w:t>
                                  </w:r>
                                </w:p>
                                <w:p w:rsidR="00D56FFF" w:rsidRDefault="00D56FFF" w:rsidP="009C7F6C">
                                  <w:pPr>
                                    <w:pStyle w:val="Footer"/>
                                  </w:pPr>
                                </w:p>
                                <w:p w:rsidR="00D56FFF" w:rsidRPr="00E9518C" w:rsidRDefault="00D56FFF"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tc>
                            </w:tr>
                          </w:tbl>
                          <w:p w:rsidR="00D56FFF" w:rsidRPr="006C2760" w:rsidRDefault="00D56FFF" w:rsidP="00FD0335">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29" type="#_x0000_t202" style="position:absolute;margin-left:474pt;margin-top:28.2pt;width:104.9pt;height:575.8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hRule="exact" w:val="680"/>
                        </w:trPr>
                        <w:tc>
                          <w:tcPr>
                            <w:tcW w:w="2113" w:type="dxa"/>
                            <w:tcBorders>
                              <w:top w:val="nil"/>
                            </w:tcBorders>
                          </w:tcPr>
                          <w:p w:rsidR="00D56FFF" w:rsidRPr="00E9518C" w:rsidRDefault="00D56FFF" w:rsidP="009C7F6C">
                            <w:pPr>
                              <w:pStyle w:val="Footer"/>
                            </w:pPr>
                            <w:r>
                              <w:rPr>
                                <w:noProof/>
                              </w:rPr>
                              <w:drawing>
                                <wp:inline distT="0" distB="0" distL="0" distR="0" wp14:anchorId="31D0BA58" wp14:editId="2F89A074">
                                  <wp:extent cx="285750" cy="285750"/>
                                  <wp:effectExtent l="19050" t="0" r="0"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D56FFF">
                        <w:trPr>
                          <w:trHeight w:val="340"/>
                        </w:trPr>
                        <w:tc>
                          <w:tcPr>
                            <w:tcW w:w="2113" w:type="dxa"/>
                            <w:vAlign w:val="center"/>
                          </w:tcPr>
                          <w:p w:rsidR="00D56FFF" w:rsidRPr="004F4B62" w:rsidRDefault="00D56FFF" w:rsidP="009C7F6C">
                            <w:pPr>
                              <w:pStyle w:val="Footer"/>
                              <w:rPr>
                                <w:b/>
                              </w:rPr>
                            </w:pPr>
                            <w:r w:rsidRPr="004F4B62">
                              <w:rPr>
                                <w:b/>
                              </w:rPr>
                              <w:t>What are the Applicable BSC Objectives?</w:t>
                            </w:r>
                          </w:p>
                        </w:tc>
                      </w:tr>
                      <w:tr w:rsidR="00D56FFF" w:rsidTr="009C7F6C">
                        <w:trPr>
                          <w:trHeight w:val="7126"/>
                        </w:trPr>
                        <w:tc>
                          <w:tcPr>
                            <w:tcW w:w="2113" w:type="dxa"/>
                            <w:tcBorders>
                              <w:bottom w:val="nil"/>
                            </w:tcBorders>
                          </w:tcPr>
                          <w:p w:rsidR="00D56FFF" w:rsidRDefault="00D56FFF" w:rsidP="009C7F6C">
                            <w:pPr>
                              <w:pStyle w:val="Footer"/>
                            </w:pPr>
                            <w:r w:rsidRPr="00306266">
                              <w:t>(a</w:t>
                            </w:r>
                            <w:r>
                              <w:t xml:space="preserve">) </w:t>
                            </w:r>
                            <w:r w:rsidRPr="00306266">
                              <w:t>The efficient discharge by the Transmission Company of the obligations imposed upon</w:t>
                            </w:r>
                            <w:r>
                              <w:t xml:space="preserve"> it by the Transmission Licence</w:t>
                            </w:r>
                          </w:p>
                          <w:p w:rsidR="00D56FFF" w:rsidRPr="003B11CA" w:rsidRDefault="00D56FFF" w:rsidP="009C7F6C">
                            <w:pPr>
                              <w:pStyle w:val="Footer"/>
                            </w:pPr>
                          </w:p>
                          <w:p w:rsidR="00D56FFF" w:rsidRDefault="00D56FFF" w:rsidP="009C7F6C">
                            <w:pPr>
                              <w:pStyle w:val="Footer"/>
                            </w:pPr>
                            <w:r w:rsidRPr="00306266">
                              <w:t>(b) The efficient, economic and co-ordinated operation of the National Electricity Transmission System</w:t>
                            </w:r>
                          </w:p>
                          <w:p w:rsidR="00D56FFF" w:rsidRPr="00306266" w:rsidRDefault="00D56FFF" w:rsidP="009C7F6C">
                            <w:pPr>
                              <w:pStyle w:val="Footer"/>
                            </w:pPr>
                          </w:p>
                          <w:p w:rsidR="00D56FFF" w:rsidRDefault="00D56FFF" w:rsidP="009C7F6C">
                            <w:pPr>
                              <w:pStyle w:val="Footer"/>
                            </w:pPr>
                            <w:r w:rsidRPr="00306266">
                              <w:t>(c) Promoting effective competition in the generation and supply of electricity and (so far as consistent therewith) promoting such competition in the sale and purchase of electricity</w:t>
                            </w:r>
                          </w:p>
                          <w:p w:rsidR="00D56FFF" w:rsidRPr="00306266" w:rsidRDefault="00D56FFF" w:rsidP="009C7F6C">
                            <w:pPr>
                              <w:pStyle w:val="Footer"/>
                            </w:pPr>
                          </w:p>
                          <w:p w:rsidR="00D56FFF" w:rsidRDefault="00D56FFF" w:rsidP="009C7F6C">
                            <w:pPr>
                              <w:pStyle w:val="Footer"/>
                            </w:pPr>
                            <w:r w:rsidRPr="00306266">
                              <w:t>(d) Promoting efficiency in the implementation of the balancing and settlement arrangements</w:t>
                            </w:r>
                          </w:p>
                          <w:p w:rsidR="00D56FFF" w:rsidRDefault="00D56FFF" w:rsidP="009C7F6C">
                            <w:pPr>
                              <w:pStyle w:val="Footer"/>
                            </w:pPr>
                          </w:p>
                          <w:p w:rsidR="00D56FFF" w:rsidRDefault="00D56FFF" w:rsidP="009C7F6C">
                            <w:pPr>
                              <w:pStyle w:val="Footer"/>
                            </w:pPr>
                            <w:r>
                              <w:t>(e) Compliance with the Electricity Regulation and any relevant legally binding decision of the European Commission and/or the Agency [for the Co-operation of Energy Regulators]</w:t>
                            </w:r>
                          </w:p>
                          <w:p w:rsidR="00D56FFF" w:rsidRDefault="00D56FFF" w:rsidP="009C7F6C">
                            <w:pPr>
                              <w:pStyle w:val="Footer"/>
                            </w:pPr>
                          </w:p>
                          <w:p w:rsidR="00D56FFF" w:rsidRPr="00E9518C" w:rsidRDefault="00D56FFF"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tc>
                      </w:tr>
                    </w:tbl>
                    <w:p w:rsidR="00D56FFF" w:rsidRPr="006C2760" w:rsidRDefault="00D56FFF" w:rsidP="00FD0335">
                      <w:pPr>
                        <w:pStyle w:val="Footer"/>
                        <w:rPr>
                          <w:sz w:val="2"/>
                          <w:szCs w:val="2"/>
                        </w:rPr>
                      </w:pPr>
                    </w:p>
                  </w:txbxContent>
                </v:textbox>
                <w10:wrap anchorx="page" anchory="page"/>
                <w10:anchorlock/>
              </v:shape>
            </w:pict>
          </mc:Fallback>
        </mc:AlternateContent>
      </w:r>
      <w:r>
        <w:t xml:space="preserve">Six respondents agreed with the draft </w:t>
      </w:r>
      <w:r w:rsidR="00D56FFF">
        <w:t>legal text ch</w:t>
      </w:r>
      <w:r w:rsidR="0081316A">
        <w:t>anges and three had no comment.</w:t>
      </w:r>
    </w:p>
    <w:p w:rsidR="0081316A" w:rsidRDefault="0081316A" w:rsidP="0081316A"/>
    <w:p w:rsidR="00F57883" w:rsidRDefault="00DE4228" w:rsidP="007D0D66">
      <w:pPr>
        <w:pStyle w:val="Heading8"/>
      </w:pPr>
      <w:bookmarkStart w:id="11" w:name="_Toc467066303"/>
      <w:r>
        <w:t>Panel’s Initial Discussions</w:t>
      </w:r>
      <w:bookmarkEnd w:id="11"/>
    </w:p>
    <w:p w:rsidR="00D56FFF" w:rsidRDefault="00D56FFF" w:rsidP="00D56FFF">
      <w:pPr>
        <w:pStyle w:val="Heading4"/>
      </w:pPr>
      <w:r>
        <w:t>Panel’s discussions</w:t>
      </w:r>
    </w:p>
    <w:p w:rsidR="00D56FFF" w:rsidRDefault="00D56FFF" w:rsidP="00D56FFF">
      <w:pPr>
        <w:pStyle w:val="BodyText"/>
      </w:pPr>
      <w:r>
        <w:t>A Panel Member felt that P346 was a pragmatic approach to resolving the issue and although other solutions that would provide more complex and nuanced resolutions had been discussed by the Workgroup, this was likely to be the most practical outcome.</w:t>
      </w:r>
    </w:p>
    <w:p w:rsidR="00D56FFF" w:rsidRDefault="00D56FFF" w:rsidP="00D56FFF">
      <w:pPr>
        <w:pStyle w:val="Heading4"/>
      </w:pPr>
    </w:p>
    <w:p w:rsidR="00D56FFF" w:rsidRPr="00A46E04" w:rsidRDefault="00D56FFF" w:rsidP="00D56FFF">
      <w:pPr>
        <w:pStyle w:val="Heading4"/>
      </w:pPr>
      <w:r>
        <w:t>Initial views against the Applicable BSC Objectives</w:t>
      </w:r>
    </w:p>
    <w:p w:rsidR="00D56FFF" w:rsidRDefault="00D56FFF" w:rsidP="00D56FFF">
      <w:pPr>
        <w:pStyle w:val="BodyText"/>
      </w:pPr>
      <w:r>
        <w:t>The Panel has provided its initial views against the Applicable BSC Objectives. It unanimously agreed with the Workgroup’s view that P346 better facilitates:</w:t>
      </w:r>
    </w:p>
    <w:p w:rsidR="00D56FFF" w:rsidRPr="0047313E" w:rsidRDefault="00D56FFF" w:rsidP="00D56FFF">
      <w:pPr>
        <w:pStyle w:val="ListParagraph"/>
        <w:numPr>
          <w:ilvl w:val="0"/>
          <w:numId w:val="37"/>
        </w:numPr>
        <w:ind w:left="714" w:hanging="357"/>
        <w:rPr>
          <w:b/>
        </w:rPr>
      </w:pPr>
      <w:r w:rsidRPr="006A3C8D">
        <w:rPr>
          <w:b/>
        </w:rPr>
        <w:t xml:space="preserve">Applicable BSC Objective (c) </w:t>
      </w:r>
      <w:r>
        <w:t>as</w:t>
      </w:r>
      <w:r w:rsidRPr="008C4398">
        <w:t xml:space="preserve"> </w:t>
      </w:r>
      <w:r>
        <w:t>the proposed Modification will reduce costs for new market entrants with small numbers of registered MSIDs</w:t>
      </w:r>
    </w:p>
    <w:p w:rsidR="00D56FFF" w:rsidRDefault="00D56FFF" w:rsidP="00D56FFF">
      <w:pPr>
        <w:pStyle w:val="ListParagraph"/>
        <w:numPr>
          <w:ilvl w:val="0"/>
          <w:numId w:val="37"/>
        </w:numPr>
        <w:ind w:left="714" w:hanging="357"/>
      </w:pPr>
      <w:r w:rsidRPr="006A3C8D">
        <w:rPr>
          <w:b/>
        </w:rPr>
        <w:t>Applicable BSC Objective (d)</w:t>
      </w:r>
      <w:r>
        <w:t xml:space="preserve"> as simplification of the SVA charging methodology promotes efficiency in implementation of the BSC arrangements. </w:t>
      </w:r>
    </w:p>
    <w:p w:rsidR="00D56FFF" w:rsidRDefault="00D56FFF" w:rsidP="00D56FFF">
      <w:pPr>
        <w:pStyle w:val="BodyText"/>
        <w:rPr>
          <w:b/>
        </w:rPr>
      </w:pPr>
      <w:r>
        <w:rPr>
          <w:b/>
        </w:rPr>
        <w:t>The Panel</w:t>
      </w:r>
      <w:r w:rsidRPr="00C67EB5">
        <w:rPr>
          <w:b/>
        </w:rPr>
        <w:t xml:space="preserve"> unanimously believe</w:t>
      </w:r>
      <w:r>
        <w:rPr>
          <w:b/>
        </w:rPr>
        <w:t>s</w:t>
      </w:r>
      <w:r w:rsidRPr="00C67EB5">
        <w:rPr>
          <w:b/>
        </w:rPr>
        <w:t xml:space="preserve"> that P3</w:t>
      </w:r>
      <w:r>
        <w:rPr>
          <w:b/>
        </w:rPr>
        <w:t>46</w:t>
      </w:r>
      <w:r w:rsidRPr="00C67EB5">
        <w:rPr>
          <w:b/>
        </w:rPr>
        <w:t xml:space="preserve"> does better facilitate the Applicable BSC </w:t>
      </w:r>
      <w:r>
        <w:rPr>
          <w:b/>
        </w:rPr>
        <w:t>O</w:t>
      </w:r>
      <w:r w:rsidRPr="00C67EB5">
        <w:rPr>
          <w:b/>
        </w:rPr>
        <w:t>bjectives compare</w:t>
      </w:r>
      <w:r>
        <w:rPr>
          <w:b/>
        </w:rPr>
        <w:t xml:space="preserve">d to the current baseline. It therefore initially </w:t>
      </w:r>
      <w:r w:rsidRPr="00C67EB5">
        <w:rPr>
          <w:b/>
        </w:rPr>
        <w:t>recommend</w:t>
      </w:r>
      <w:r>
        <w:rPr>
          <w:b/>
        </w:rPr>
        <w:t>s</w:t>
      </w:r>
      <w:r w:rsidRPr="00C67EB5">
        <w:rPr>
          <w:b/>
        </w:rPr>
        <w:t xml:space="preserve"> </w:t>
      </w:r>
      <w:r>
        <w:rPr>
          <w:b/>
        </w:rPr>
        <w:t>that P346 is approved.</w:t>
      </w:r>
    </w:p>
    <w:p w:rsidR="00D56FFF" w:rsidRPr="00F1729D" w:rsidRDefault="00D56FFF" w:rsidP="00D56FFF">
      <w:pPr>
        <w:pStyle w:val="BodyText"/>
        <w:rPr>
          <w:b/>
        </w:rPr>
      </w:pPr>
    </w:p>
    <w:p w:rsidR="00D56FFF" w:rsidRDefault="00D56FFF" w:rsidP="00D56FFF">
      <w:pPr>
        <w:pStyle w:val="Heading4"/>
      </w:pPr>
      <w:r>
        <w:t>Self-Governance</w:t>
      </w:r>
    </w:p>
    <w:p w:rsidR="00D56FFF" w:rsidRDefault="00D56FFF" w:rsidP="00D56FFF">
      <w:pPr>
        <w:pStyle w:val="BodyText"/>
      </w:pPr>
      <w:r w:rsidRPr="00F1729D">
        <w:t xml:space="preserve">The </w:t>
      </w:r>
      <w:r>
        <w:t>Panel</w:t>
      </w:r>
      <w:r w:rsidRPr="00F1729D">
        <w:t xml:space="preserve"> unanimously agreed that </w:t>
      </w:r>
      <w:r w:rsidRPr="00AC252B">
        <w:rPr>
          <w:b/>
        </w:rPr>
        <w:t>P346 does meet the Self-Governance criteria</w:t>
      </w:r>
      <w:r w:rsidRPr="00F1729D">
        <w:t xml:space="preserve"> and should therefore be treated as a Self-Governance Modification Proposal. </w:t>
      </w:r>
    </w:p>
    <w:p w:rsidR="00D56FFF" w:rsidRDefault="00D56FFF" w:rsidP="00D56FFF">
      <w:pPr>
        <w:pStyle w:val="BodyText"/>
      </w:pPr>
    </w:p>
    <w:p w:rsidR="00D56FFF" w:rsidRDefault="00D56FFF" w:rsidP="00D56FFF">
      <w:pPr>
        <w:pStyle w:val="Heading4"/>
      </w:pPr>
      <w:r>
        <w:t>Implementation approach</w:t>
      </w:r>
    </w:p>
    <w:p w:rsidR="00D56FFF" w:rsidRDefault="00D56FFF" w:rsidP="00D56FFF">
      <w:pPr>
        <w:pStyle w:val="BodyText"/>
      </w:pPr>
      <w:r>
        <w:t>The Panel unanimously agreed with the recommended Implementation Date for P346 of:</w:t>
      </w:r>
    </w:p>
    <w:p w:rsidR="00D56FFF" w:rsidRDefault="00D56FFF" w:rsidP="00D56FFF">
      <w:pPr>
        <w:pStyle w:val="ListParagraph"/>
        <w:numPr>
          <w:ilvl w:val="0"/>
          <w:numId w:val="37"/>
        </w:numPr>
        <w:ind w:left="714" w:hanging="357"/>
      </w:pPr>
      <w:r>
        <w:rPr>
          <w:b/>
        </w:rPr>
        <w:t>1 April 2017</w:t>
      </w:r>
      <w:r>
        <w:t xml:space="preserve"> as part of a standalone BSC Release.</w:t>
      </w:r>
    </w:p>
    <w:p w:rsidR="00D56FFF" w:rsidRDefault="00D56FFF" w:rsidP="00D56FFF">
      <w:pPr>
        <w:pStyle w:val="ListParagraph"/>
        <w:numPr>
          <w:ilvl w:val="0"/>
          <w:numId w:val="0"/>
        </w:numPr>
        <w:ind w:left="714"/>
      </w:pPr>
    </w:p>
    <w:p w:rsidR="00D56FFF" w:rsidRDefault="00D56FFF" w:rsidP="00D56FFF">
      <w:pPr>
        <w:pStyle w:val="Heading4"/>
      </w:pPr>
      <w:r>
        <w:t>Legal text changes</w:t>
      </w:r>
    </w:p>
    <w:p w:rsidR="00D56FFF" w:rsidRDefault="00D56FFF" w:rsidP="00D56FFF">
      <w:pPr>
        <w:pStyle w:val="BodyText"/>
      </w:pPr>
      <w:r>
        <w:t>The Panel unanimously agreed with the draft legal text changes to the BSC, which can be found in Attachment A.</w:t>
      </w:r>
    </w:p>
    <w:p w:rsidR="00661737" w:rsidRDefault="00661737" w:rsidP="00661737">
      <w:pPr>
        <w:pStyle w:val="BodyText"/>
      </w:pPr>
    </w:p>
    <w:p w:rsidR="00DE4228" w:rsidRDefault="00DE4228" w:rsidP="00DE4228">
      <w:pPr>
        <w:pStyle w:val="BodyText"/>
        <w:sectPr w:rsidR="00DE4228" w:rsidSect="00526E7D">
          <w:pgSz w:w="11906" w:h="16838" w:code="9"/>
          <w:pgMar w:top="567" w:right="2722" w:bottom="567" w:left="1134" w:header="284" w:footer="284" w:gutter="0"/>
          <w:cols w:space="708"/>
          <w:titlePg/>
          <w:docGrid w:linePitch="360"/>
        </w:sectPr>
      </w:pPr>
    </w:p>
    <w:p w:rsidR="00DE4228" w:rsidRDefault="00DE4228" w:rsidP="00DE4228">
      <w:pPr>
        <w:pStyle w:val="Heading8"/>
      </w:pPr>
      <w:bookmarkStart w:id="12" w:name="_Toc467066304"/>
      <w:r>
        <w:lastRenderedPageBreak/>
        <w:t>Report Phase Consultation Responses</w:t>
      </w:r>
      <w:bookmarkEnd w:id="12"/>
    </w:p>
    <w:p w:rsidR="00D56FFF" w:rsidRDefault="00D56FFF" w:rsidP="00D56FFF">
      <w:pPr>
        <w:spacing w:after="180"/>
      </w:pPr>
      <w:r>
        <w:t>This section summarises the responses to the Panel’s Report Phase Consultation on its initial recommendations. You can find the full responses in Attachment C.</w:t>
      </w:r>
      <w:r w:rsidRPr="00B05E77">
        <w:rPr>
          <w:noProof/>
          <w:color w:val="7030A0"/>
          <w:sz w:val="21"/>
          <w:szCs w:val="21"/>
        </w:rPr>
        <w:t xml:space="preserve"> </w:t>
      </w:r>
    </w:p>
    <w:p w:rsidR="00D56FFF" w:rsidRDefault="00D56FFF" w:rsidP="00D56FFF">
      <w:pPr>
        <w:spacing w:after="180"/>
      </w:pPr>
    </w:p>
    <w:tbl>
      <w:tblPr>
        <w:tblStyle w:val="TableGrid"/>
        <w:tblW w:w="814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D56FFF" w:rsidRPr="00C34783" w:rsidTr="00D56FFF">
        <w:trPr>
          <w:cantSplit/>
          <w:trHeight w:val="397"/>
          <w:tblHeader/>
        </w:trPr>
        <w:tc>
          <w:tcPr>
            <w:tcW w:w="8141" w:type="dxa"/>
            <w:gridSpan w:val="5"/>
            <w:tcBorders>
              <w:bottom w:val="single" w:sz="8" w:space="0" w:color="CCE0DA"/>
            </w:tcBorders>
            <w:shd w:val="clear" w:color="auto" w:fill="CCE0DA"/>
            <w:vAlign w:val="center"/>
          </w:tcPr>
          <w:p w:rsidR="00D56FFF" w:rsidRPr="00C34783" w:rsidRDefault="00D56FFF" w:rsidP="00D56FFF">
            <w:pPr>
              <w:pStyle w:val="TableTitle"/>
              <w:keepNext/>
            </w:pPr>
            <w:r w:rsidRPr="00C34783">
              <w:t>Summary of P</w:t>
            </w:r>
            <w:r>
              <w:t>346</w:t>
            </w:r>
            <w:r w:rsidRPr="00C34783">
              <w:t xml:space="preserve"> </w:t>
            </w:r>
            <w:r>
              <w:t>Report Phase</w:t>
            </w:r>
            <w:r w:rsidRPr="00C34783">
              <w:t xml:space="preserve"> Consultation Responses</w:t>
            </w:r>
          </w:p>
        </w:tc>
      </w:tr>
      <w:tr w:rsidR="00D56FFF" w:rsidRPr="00C34783" w:rsidTr="00D56FFF">
        <w:trPr>
          <w:cantSplit/>
          <w:trHeight w:val="397"/>
          <w:tblHeader/>
        </w:trPr>
        <w:tc>
          <w:tcPr>
            <w:tcW w:w="4316" w:type="dxa"/>
          </w:tcPr>
          <w:p w:rsidR="00D56FFF" w:rsidRPr="00C34783" w:rsidRDefault="00D56FFF" w:rsidP="00D56FFF">
            <w:pPr>
              <w:pStyle w:val="TableColumnHeading"/>
              <w:keepNext/>
            </w:pPr>
            <w:r w:rsidRPr="00C34783">
              <w:t>Question</w:t>
            </w:r>
          </w:p>
        </w:tc>
        <w:tc>
          <w:tcPr>
            <w:tcW w:w="956" w:type="dxa"/>
          </w:tcPr>
          <w:p w:rsidR="00D56FFF" w:rsidRPr="0016656E" w:rsidRDefault="00D56FFF" w:rsidP="00D56FFF">
            <w:pPr>
              <w:pStyle w:val="TableColumnHeading"/>
              <w:keepNext/>
              <w:jc w:val="center"/>
            </w:pPr>
            <w:r w:rsidRPr="0016656E">
              <w:t>Yes</w:t>
            </w:r>
          </w:p>
        </w:tc>
        <w:tc>
          <w:tcPr>
            <w:tcW w:w="956" w:type="dxa"/>
          </w:tcPr>
          <w:p w:rsidR="00D56FFF" w:rsidRPr="0016656E" w:rsidRDefault="00D56FFF" w:rsidP="00D56FFF">
            <w:pPr>
              <w:pStyle w:val="TableColumnHeading"/>
              <w:keepNext/>
              <w:jc w:val="center"/>
            </w:pPr>
            <w:r w:rsidRPr="0016656E">
              <w:t>No</w:t>
            </w:r>
          </w:p>
        </w:tc>
        <w:tc>
          <w:tcPr>
            <w:tcW w:w="956" w:type="dxa"/>
          </w:tcPr>
          <w:p w:rsidR="00D56FFF" w:rsidRPr="0016656E" w:rsidRDefault="00D56FFF" w:rsidP="00D56FFF">
            <w:pPr>
              <w:pStyle w:val="TableColumnHeading"/>
              <w:keepNext/>
              <w:ind w:left="0" w:right="0"/>
              <w:jc w:val="center"/>
            </w:pPr>
            <w:r w:rsidRPr="0016656E">
              <w:t>Neutral/ No Comment</w:t>
            </w:r>
          </w:p>
        </w:tc>
        <w:tc>
          <w:tcPr>
            <w:tcW w:w="957" w:type="dxa"/>
          </w:tcPr>
          <w:p w:rsidR="00D56FFF" w:rsidRPr="0016656E" w:rsidRDefault="00D56FFF" w:rsidP="00D56FFF">
            <w:pPr>
              <w:pStyle w:val="TableColumnHeading"/>
              <w:keepNext/>
              <w:jc w:val="center"/>
            </w:pPr>
            <w:r w:rsidRPr="0016656E">
              <w:t>Other</w:t>
            </w:r>
          </w:p>
        </w:tc>
      </w:tr>
      <w:tr w:rsidR="00D56FFF" w:rsidRPr="00C34783" w:rsidTr="00D56FFF">
        <w:trPr>
          <w:cantSplit/>
          <w:trHeight w:val="397"/>
        </w:trPr>
        <w:tc>
          <w:tcPr>
            <w:tcW w:w="4316" w:type="dxa"/>
          </w:tcPr>
          <w:p w:rsidR="00D56FFF" w:rsidRPr="00490754" w:rsidRDefault="00D56FFF" w:rsidP="00D56FFF">
            <w:pPr>
              <w:pStyle w:val="TableBodyText"/>
            </w:pPr>
            <w:r w:rsidRPr="00490754">
              <w:t>Do you agree with the Panel’s initial unanimous recommendation that P</w:t>
            </w:r>
            <w:r>
              <w:t>346</w:t>
            </w:r>
            <w:r w:rsidRPr="00490754">
              <w:t xml:space="preserve"> should be approved?</w:t>
            </w:r>
          </w:p>
        </w:tc>
        <w:tc>
          <w:tcPr>
            <w:tcW w:w="956" w:type="dxa"/>
          </w:tcPr>
          <w:p w:rsidR="00D56FFF" w:rsidRPr="0016656E" w:rsidRDefault="00D56FFF" w:rsidP="00D56FFF">
            <w:pPr>
              <w:pStyle w:val="TableBodyText"/>
              <w:jc w:val="center"/>
            </w:pPr>
            <w:r>
              <w:t>9</w:t>
            </w:r>
          </w:p>
        </w:tc>
        <w:tc>
          <w:tcPr>
            <w:tcW w:w="956" w:type="dxa"/>
          </w:tcPr>
          <w:p w:rsidR="00D56FFF" w:rsidRPr="0016656E" w:rsidRDefault="00D56FFF" w:rsidP="00D56FFF">
            <w:pPr>
              <w:pStyle w:val="TableBodyText"/>
              <w:jc w:val="center"/>
            </w:pPr>
          </w:p>
        </w:tc>
        <w:tc>
          <w:tcPr>
            <w:tcW w:w="956" w:type="dxa"/>
          </w:tcPr>
          <w:p w:rsidR="00D56FFF" w:rsidRPr="0016656E" w:rsidRDefault="00D56FFF" w:rsidP="00D56FFF">
            <w:pPr>
              <w:pStyle w:val="TableBodyText"/>
              <w:jc w:val="center"/>
            </w:pPr>
          </w:p>
        </w:tc>
        <w:tc>
          <w:tcPr>
            <w:tcW w:w="957" w:type="dxa"/>
          </w:tcPr>
          <w:p w:rsidR="00D56FFF" w:rsidRPr="0016656E" w:rsidRDefault="00D56FFF" w:rsidP="00D56FFF">
            <w:pPr>
              <w:pStyle w:val="TableBodyText"/>
              <w:jc w:val="center"/>
            </w:pPr>
          </w:p>
        </w:tc>
      </w:tr>
      <w:tr w:rsidR="00D56FFF" w:rsidRPr="00C34783" w:rsidTr="00D56FFF">
        <w:trPr>
          <w:cantSplit/>
          <w:trHeight w:val="397"/>
        </w:trPr>
        <w:tc>
          <w:tcPr>
            <w:tcW w:w="4316" w:type="dxa"/>
          </w:tcPr>
          <w:p w:rsidR="00D56FFF" w:rsidRPr="00490754" w:rsidRDefault="00D56FFF" w:rsidP="00D56FFF">
            <w:pPr>
              <w:pStyle w:val="TableBodyText"/>
            </w:pPr>
            <w:r w:rsidRPr="00490754">
              <w:t>Do you agree with the Panel that the redlined changes to the BSC deliver the intent of P</w:t>
            </w:r>
            <w:r>
              <w:t>346</w:t>
            </w:r>
            <w:r w:rsidRPr="00490754">
              <w:t>?</w:t>
            </w:r>
          </w:p>
        </w:tc>
        <w:tc>
          <w:tcPr>
            <w:tcW w:w="956" w:type="dxa"/>
          </w:tcPr>
          <w:p w:rsidR="00D56FFF" w:rsidRPr="0016656E" w:rsidRDefault="00D56FFF" w:rsidP="00D56FFF">
            <w:pPr>
              <w:pStyle w:val="TableBodyText"/>
              <w:jc w:val="center"/>
            </w:pPr>
            <w:r>
              <w:t>6</w:t>
            </w:r>
          </w:p>
        </w:tc>
        <w:tc>
          <w:tcPr>
            <w:tcW w:w="956" w:type="dxa"/>
          </w:tcPr>
          <w:p w:rsidR="00D56FFF" w:rsidRPr="0016656E" w:rsidRDefault="00D56FFF" w:rsidP="00D56FFF">
            <w:pPr>
              <w:pStyle w:val="TableBodyText"/>
              <w:jc w:val="center"/>
            </w:pPr>
          </w:p>
        </w:tc>
        <w:tc>
          <w:tcPr>
            <w:tcW w:w="956" w:type="dxa"/>
          </w:tcPr>
          <w:p w:rsidR="00D56FFF" w:rsidRPr="0016656E" w:rsidRDefault="00D56FFF" w:rsidP="00D56FFF">
            <w:pPr>
              <w:pStyle w:val="TableBodyText"/>
              <w:jc w:val="center"/>
            </w:pPr>
            <w:r>
              <w:t>3</w:t>
            </w:r>
          </w:p>
        </w:tc>
        <w:tc>
          <w:tcPr>
            <w:tcW w:w="957" w:type="dxa"/>
          </w:tcPr>
          <w:p w:rsidR="00D56FFF" w:rsidRPr="0016656E" w:rsidRDefault="00D56FFF" w:rsidP="00D56FFF">
            <w:pPr>
              <w:pStyle w:val="TableBodyText"/>
              <w:jc w:val="center"/>
            </w:pPr>
          </w:p>
        </w:tc>
      </w:tr>
      <w:tr w:rsidR="00D56FFF" w:rsidRPr="00C34783" w:rsidTr="00D56FFF">
        <w:trPr>
          <w:cantSplit/>
          <w:trHeight w:val="397"/>
        </w:trPr>
        <w:tc>
          <w:tcPr>
            <w:tcW w:w="4316" w:type="dxa"/>
          </w:tcPr>
          <w:p w:rsidR="00D56FFF" w:rsidRPr="00490754" w:rsidRDefault="00D56FFF" w:rsidP="00D56FFF">
            <w:pPr>
              <w:pStyle w:val="TableBodyText"/>
            </w:pPr>
            <w:r w:rsidRPr="00490754">
              <w:t>Do you agree with the Panel’s recommended</w:t>
            </w:r>
            <w:r>
              <w:t xml:space="preserve"> </w:t>
            </w:r>
            <w:r w:rsidRPr="00490754">
              <w:t>Implementation Date?</w:t>
            </w:r>
          </w:p>
        </w:tc>
        <w:tc>
          <w:tcPr>
            <w:tcW w:w="956" w:type="dxa"/>
          </w:tcPr>
          <w:p w:rsidR="00D56FFF" w:rsidRPr="0016656E" w:rsidRDefault="00D56FFF" w:rsidP="00D56FFF">
            <w:pPr>
              <w:pStyle w:val="TableBodyText"/>
              <w:jc w:val="center"/>
            </w:pPr>
            <w:r>
              <w:t>7</w:t>
            </w:r>
          </w:p>
        </w:tc>
        <w:tc>
          <w:tcPr>
            <w:tcW w:w="956" w:type="dxa"/>
          </w:tcPr>
          <w:p w:rsidR="00D56FFF" w:rsidRPr="0016656E" w:rsidRDefault="00D56FFF" w:rsidP="00D56FFF">
            <w:pPr>
              <w:pStyle w:val="TableBodyText"/>
              <w:jc w:val="center"/>
            </w:pPr>
            <w:r>
              <w:t>1</w:t>
            </w:r>
          </w:p>
        </w:tc>
        <w:tc>
          <w:tcPr>
            <w:tcW w:w="956" w:type="dxa"/>
          </w:tcPr>
          <w:p w:rsidR="00D56FFF" w:rsidRPr="0016656E" w:rsidRDefault="00D56FFF" w:rsidP="00D56FFF">
            <w:pPr>
              <w:pStyle w:val="TableBodyText"/>
              <w:jc w:val="center"/>
            </w:pPr>
            <w:r>
              <w:t>1</w:t>
            </w:r>
          </w:p>
        </w:tc>
        <w:tc>
          <w:tcPr>
            <w:tcW w:w="957" w:type="dxa"/>
          </w:tcPr>
          <w:p w:rsidR="00D56FFF" w:rsidRPr="0016656E" w:rsidRDefault="00D56FFF" w:rsidP="00D56FFF">
            <w:pPr>
              <w:pStyle w:val="TableBodyText"/>
              <w:jc w:val="center"/>
            </w:pPr>
          </w:p>
        </w:tc>
      </w:tr>
      <w:tr w:rsidR="00D56FFF" w:rsidTr="00D56FFF">
        <w:trPr>
          <w:cantSplit/>
          <w:trHeight w:val="397"/>
        </w:trPr>
        <w:tc>
          <w:tcPr>
            <w:tcW w:w="4316" w:type="dxa"/>
          </w:tcPr>
          <w:p w:rsidR="00D56FFF" w:rsidRPr="00490754" w:rsidRDefault="00D56FFF" w:rsidP="00D56FFF">
            <w:pPr>
              <w:pStyle w:val="TableBodyText"/>
            </w:pPr>
            <w:r w:rsidRPr="00490754">
              <w:t>Do you have any further comments on P</w:t>
            </w:r>
            <w:r>
              <w:t>346</w:t>
            </w:r>
            <w:r w:rsidRPr="00490754">
              <w:t>?</w:t>
            </w:r>
          </w:p>
        </w:tc>
        <w:tc>
          <w:tcPr>
            <w:tcW w:w="956" w:type="dxa"/>
          </w:tcPr>
          <w:p w:rsidR="00D56FFF" w:rsidRPr="0016656E" w:rsidRDefault="00D56FFF" w:rsidP="00D56FFF">
            <w:pPr>
              <w:pStyle w:val="TableBodyText"/>
              <w:jc w:val="center"/>
            </w:pPr>
          </w:p>
        </w:tc>
        <w:tc>
          <w:tcPr>
            <w:tcW w:w="956" w:type="dxa"/>
          </w:tcPr>
          <w:p w:rsidR="00D56FFF" w:rsidRPr="0016656E" w:rsidRDefault="00D56FFF" w:rsidP="00D56FFF">
            <w:pPr>
              <w:pStyle w:val="TableBodyText"/>
              <w:jc w:val="center"/>
            </w:pPr>
            <w:r>
              <w:t>8</w:t>
            </w:r>
          </w:p>
        </w:tc>
        <w:tc>
          <w:tcPr>
            <w:tcW w:w="956" w:type="dxa"/>
          </w:tcPr>
          <w:p w:rsidR="00D56FFF" w:rsidRPr="0016656E" w:rsidRDefault="00D56FFF" w:rsidP="00D56FFF">
            <w:pPr>
              <w:pStyle w:val="TableBodyText"/>
              <w:jc w:val="center"/>
            </w:pPr>
            <w:r>
              <w:t>1</w:t>
            </w:r>
          </w:p>
        </w:tc>
        <w:tc>
          <w:tcPr>
            <w:tcW w:w="957" w:type="dxa"/>
          </w:tcPr>
          <w:p w:rsidR="00D56FFF" w:rsidRPr="0016656E" w:rsidRDefault="00D56FFF" w:rsidP="00D56FFF">
            <w:pPr>
              <w:pStyle w:val="TableBodyText"/>
              <w:jc w:val="center"/>
            </w:pPr>
          </w:p>
        </w:tc>
      </w:tr>
    </w:tbl>
    <w:p w:rsidR="00DE4228" w:rsidRDefault="00DE4228" w:rsidP="00DE4228">
      <w:pPr>
        <w:pStyle w:val="BodyText"/>
      </w:pPr>
    </w:p>
    <w:p w:rsidR="00DE4228" w:rsidRDefault="00DE4228" w:rsidP="00DE4228">
      <w:pPr>
        <w:pStyle w:val="BodyText"/>
      </w:pPr>
    </w:p>
    <w:p w:rsidR="00DE4228" w:rsidRDefault="00DE4228" w:rsidP="00DE4228">
      <w:pPr>
        <w:pStyle w:val="BodyText"/>
        <w:sectPr w:rsidR="00DE4228" w:rsidSect="00526E7D">
          <w:pgSz w:w="11906" w:h="16838" w:code="9"/>
          <w:pgMar w:top="567" w:right="2722" w:bottom="567" w:left="1134" w:header="284" w:footer="284" w:gutter="0"/>
          <w:cols w:space="708"/>
          <w:titlePg/>
          <w:docGrid w:linePitch="360"/>
        </w:sectPr>
      </w:pPr>
    </w:p>
    <w:p w:rsidR="009E374B" w:rsidRDefault="009E374B" w:rsidP="008F65A0">
      <w:pPr>
        <w:pStyle w:val="Heading8"/>
        <w:pageBreakBefore/>
        <w:ind w:right="198"/>
      </w:pPr>
      <w:bookmarkStart w:id="13" w:name="_Toc467066305"/>
      <w:r w:rsidRPr="009E374B">
        <w:lastRenderedPageBreak/>
        <w:t>Panel</w:t>
      </w:r>
      <w:r w:rsidR="00DE4228">
        <w:t>’s Final</w:t>
      </w:r>
      <w:r w:rsidRPr="009E374B">
        <w:t xml:space="preserve"> Discussions</w:t>
      </w:r>
      <w:bookmarkEnd w:id="13"/>
    </w:p>
    <w:p w:rsidR="00401A92" w:rsidRDefault="00401A92" w:rsidP="00401A92">
      <w:pPr>
        <w:pStyle w:val="Numberbodytext1"/>
        <w:numPr>
          <w:ilvl w:val="0"/>
          <w:numId w:val="0"/>
        </w:numPr>
        <w:rPr>
          <w:lang w:val="en-US"/>
        </w:rPr>
      </w:pPr>
      <w:r>
        <w:rPr>
          <w:lang w:val="en-US"/>
        </w:rPr>
        <w:t xml:space="preserve">A Panel Member noted that one respondent had a commercial contract in place that may be affected by P346, and asked if that respondent had any concerns about P346 being a Self-Governance Modification. ELEXON replied that no concern had been raised. </w:t>
      </w:r>
    </w:p>
    <w:p w:rsidR="00401A92" w:rsidRPr="00E31EF3" w:rsidRDefault="00401A92" w:rsidP="00401A92">
      <w:pPr>
        <w:pStyle w:val="Numberbodytext1"/>
        <w:numPr>
          <w:ilvl w:val="0"/>
          <w:numId w:val="0"/>
        </w:numPr>
        <w:rPr>
          <w:lang w:val="en-US"/>
        </w:rPr>
      </w:pPr>
      <w:r w:rsidRPr="00E31EF3">
        <w:rPr>
          <w:lang w:val="en-US"/>
        </w:rPr>
        <w:t xml:space="preserve">A Panel Member noted that there had been a respondent who had expressed a concern about the cost of implementation and asked whether they had responded to the consultation. ELEXON confirmed that they had not. </w:t>
      </w:r>
    </w:p>
    <w:p w:rsidR="00401A92" w:rsidRPr="00B15E43" w:rsidRDefault="00401A92" w:rsidP="00401A92">
      <w:pPr>
        <w:pStyle w:val="BodyText"/>
        <w:rPr>
          <w:lang w:val="en-US"/>
        </w:rPr>
      </w:pPr>
      <w:r w:rsidRPr="00B15E43">
        <w:rPr>
          <w:lang w:val="en-US"/>
        </w:rPr>
        <w:t>The BSC Panel:</w:t>
      </w:r>
    </w:p>
    <w:p w:rsidR="00401A92" w:rsidRPr="00BA54F6" w:rsidRDefault="00401A92" w:rsidP="00401A92">
      <w:pPr>
        <w:pStyle w:val="ListParagraph"/>
        <w:rPr>
          <w:b/>
          <w:lang w:val="en-US"/>
        </w:rPr>
      </w:pPr>
      <w:r w:rsidRPr="00B15E43">
        <w:rPr>
          <w:b/>
          <w:lang w:val="en-US"/>
        </w:rPr>
        <w:t>AGREED</w:t>
      </w:r>
      <w:r>
        <w:rPr>
          <w:b/>
          <w:lang w:val="en-US"/>
        </w:rPr>
        <w:t xml:space="preserve"> </w:t>
      </w:r>
      <w:r>
        <w:rPr>
          <w:lang w:val="en-US"/>
        </w:rPr>
        <w:t>that P346</w:t>
      </w:r>
    </w:p>
    <w:p w:rsidR="00401A92" w:rsidRPr="00BA54F6" w:rsidRDefault="00401A92" w:rsidP="00401A92">
      <w:pPr>
        <w:pStyle w:val="ListParagraph"/>
        <w:numPr>
          <w:ilvl w:val="1"/>
          <w:numId w:val="40"/>
        </w:numPr>
        <w:rPr>
          <w:b/>
          <w:lang w:val="en-US"/>
        </w:rPr>
      </w:pPr>
      <w:r>
        <w:rPr>
          <w:b/>
          <w:lang w:val="en-US"/>
        </w:rPr>
        <w:t xml:space="preserve">DOES </w:t>
      </w:r>
      <w:r>
        <w:rPr>
          <w:lang w:val="en-US"/>
        </w:rPr>
        <w:t>better facilitate Applicable BSC Objective (c);</w:t>
      </w:r>
    </w:p>
    <w:p w:rsidR="00401A92" w:rsidRPr="00B15E43" w:rsidRDefault="00401A92" w:rsidP="00401A92">
      <w:pPr>
        <w:pStyle w:val="ListParagraph"/>
        <w:numPr>
          <w:ilvl w:val="1"/>
          <w:numId w:val="40"/>
        </w:numPr>
        <w:rPr>
          <w:b/>
          <w:lang w:val="en-US"/>
        </w:rPr>
      </w:pPr>
      <w:r>
        <w:rPr>
          <w:b/>
          <w:lang w:val="en-US"/>
        </w:rPr>
        <w:t xml:space="preserve">DOES </w:t>
      </w:r>
      <w:r>
        <w:rPr>
          <w:lang w:val="en-US"/>
        </w:rPr>
        <w:t>better facilitate Applicable BSC Objective (d);</w:t>
      </w:r>
    </w:p>
    <w:p w:rsidR="00401A92" w:rsidRPr="00BA54F6" w:rsidRDefault="00401A92" w:rsidP="00401A92">
      <w:pPr>
        <w:pStyle w:val="ListParagraph"/>
        <w:rPr>
          <w:b/>
          <w:lang w:val="en-US"/>
        </w:rPr>
      </w:pPr>
      <w:r>
        <w:rPr>
          <w:b/>
          <w:lang w:val="en-US"/>
        </w:rPr>
        <w:t xml:space="preserve">DETERMINED </w:t>
      </w:r>
      <w:r>
        <w:rPr>
          <w:lang w:val="en-US"/>
        </w:rPr>
        <w:t>(in the absence of any Authority direction) that P346 is a Self-Governance Modification Proposal;</w:t>
      </w:r>
    </w:p>
    <w:p w:rsidR="00401A92" w:rsidRPr="00D3695A" w:rsidRDefault="00401A92" w:rsidP="00401A92">
      <w:pPr>
        <w:pStyle w:val="ListParagraph"/>
        <w:rPr>
          <w:b/>
          <w:lang w:val="en-US"/>
        </w:rPr>
      </w:pPr>
      <w:r>
        <w:rPr>
          <w:b/>
          <w:lang w:val="en-US"/>
        </w:rPr>
        <w:t xml:space="preserve">APPROVED </w:t>
      </w:r>
      <w:r>
        <w:rPr>
          <w:lang w:val="en-US"/>
        </w:rPr>
        <w:t>the P346 Proposed Modification;</w:t>
      </w:r>
    </w:p>
    <w:p w:rsidR="00401A92" w:rsidRPr="00D3695A" w:rsidRDefault="00401A92" w:rsidP="00401A92">
      <w:pPr>
        <w:pStyle w:val="ListParagraph"/>
        <w:rPr>
          <w:b/>
          <w:lang w:val="en-US"/>
        </w:rPr>
      </w:pPr>
      <w:r>
        <w:rPr>
          <w:b/>
          <w:lang w:val="en-US"/>
        </w:rPr>
        <w:t xml:space="preserve">APPROVED </w:t>
      </w:r>
      <w:r>
        <w:rPr>
          <w:lang w:val="en-US"/>
        </w:rPr>
        <w:t>an Implementation Date of 1 April 2017;</w:t>
      </w:r>
    </w:p>
    <w:p w:rsidR="00401A92" w:rsidRPr="00401A92" w:rsidRDefault="00401A92" w:rsidP="00401A92">
      <w:pPr>
        <w:pStyle w:val="ListParagraph"/>
        <w:rPr>
          <w:b/>
          <w:lang w:val="en-US"/>
        </w:rPr>
      </w:pPr>
      <w:r>
        <w:rPr>
          <w:b/>
          <w:lang w:val="en-US"/>
        </w:rPr>
        <w:t xml:space="preserve">APPROVED </w:t>
      </w:r>
      <w:r>
        <w:rPr>
          <w:lang w:val="en-US"/>
        </w:rPr>
        <w:t>the draft legal text;</w:t>
      </w:r>
      <w:r>
        <w:rPr>
          <w:b/>
          <w:lang w:val="en-US"/>
        </w:rPr>
        <w:t xml:space="preserve"> </w:t>
      </w:r>
      <w:r>
        <w:rPr>
          <w:lang w:val="en-US"/>
        </w:rPr>
        <w:t>and</w:t>
      </w:r>
    </w:p>
    <w:p w:rsidR="00AE5701" w:rsidRPr="00401A92" w:rsidRDefault="00401A92" w:rsidP="00401A92">
      <w:pPr>
        <w:pStyle w:val="ListParagraph"/>
        <w:rPr>
          <w:b/>
          <w:lang w:val="en-US"/>
        </w:rPr>
      </w:pPr>
      <w:r w:rsidRPr="00401A92">
        <w:rPr>
          <w:b/>
          <w:lang w:val="en-US"/>
        </w:rPr>
        <w:t xml:space="preserve">APPROVED </w:t>
      </w:r>
      <w:r w:rsidRPr="00401A92">
        <w:rPr>
          <w:lang w:val="en-US"/>
        </w:rPr>
        <w:t>the P346 Modification Report.</w:t>
      </w:r>
    </w:p>
    <w:p w:rsidR="00DE4228" w:rsidRDefault="00DE4228" w:rsidP="00DE4228">
      <w:pPr>
        <w:pStyle w:val="BodyText"/>
        <w:sectPr w:rsidR="00DE4228" w:rsidSect="00526E7D">
          <w:pgSz w:w="11906" w:h="16838" w:code="9"/>
          <w:pgMar w:top="567" w:right="2722" w:bottom="567" w:left="1134" w:header="284" w:footer="284" w:gutter="0"/>
          <w:cols w:space="708"/>
          <w:titlePg/>
          <w:docGrid w:linePitch="360"/>
        </w:sectPr>
      </w:pPr>
    </w:p>
    <w:p w:rsidR="008A0BE7" w:rsidRDefault="008A0BE7" w:rsidP="008A0BE7">
      <w:pPr>
        <w:pStyle w:val="Heading8"/>
        <w:numPr>
          <w:ilvl w:val="0"/>
          <w:numId w:val="0"/>
        </w:numPr>
        <w:ind w:left="567" w:hanging="567"/>
      </w:pPr>
      <w:bookmarkStart w:id="14" w:name="_Toc354566727"/>
      <w:bookmarkStart w:id="15" w:name="_Toc358281009"/>
      <w:bookmarkStart w:id="16" w:name="_Toc361209206"/>
      <w:bookmarkStart w:id="17" w:name="_Toc388795065"/>
      <w:bookmarkStart w:id="18" w:name="_Toc467066306"/>
      <w:r>
        <w:lastRenderedPageBreak/>
        <w:t>Appendix 1: Workgroup Details</w:t>
      </w:r>
      <w:bookmarkEnd w:id="14"/>
      <w:bookmarkEnd w:id="15"/>
      <w:bookmarkEnd w:id="16"/>
      <w:bookmarkEnd w:id="17"/>
      <w:bookmarkEnd w:id="18"/>
      <w:r w:rsidRPr="00701E7B">
        <w:t xml:space="preserve"> </w:t>
      </w:r>
    </w:p>
    <w:p w:rsidR="008D4BDC" w:rsidRDefault="008D4BDC" w:rsidP="008D4BDC">
      <w:pPr>
        <w:pStyle w:val="Heading4"/>
        <w:rPr>
          <w:noProof/>
        </w:rPr>
      </w:pPr>
      <w:r>
        <w:rPr>
          <w:noProof/>
        </w:rPr>
        <w:t>Workgroup’s Terms of Reference</w:t>
      </w:r>
    </w:p>
    <w:tbl>
      <w:tblPr>
        <w:tblStyle w:val="TableGrid"/>
        <w:tblW w:w="809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96"/>
      </w:tblGrid>
      <w:tr w:rsidR="008D4BDC" w:rsidRPr="00FE69A6" w:rsidTr="004A5173">
        <w:trPr>
          <w:cantSplit/>
          <w:trHeight w:val="397"/>
          <w:tblHeader/>
        </w:trPr>
        <w:tc>
          <w:tcPr>
            <w:tcW w:w="8096" w:type="dxa"/>
            <w:tcBorders>
              <w:bottom w:val="single" w:sz="8" w:space="0" w:color="CCE0DA"/>
            </w:tcBorders>
            <w:shd w:val="clear" w:color="auto" w:fill="CCE0DA"/>
            <w:vAlign w:val="center"/>
          </w:tcPr>
          <w:p w:rsidR="008D4BDC" w:rsidRPr="00FE69A6" w:rsidRDefault="008D4BDC" w:rsidP="004A5173">
            <w:pPr>
              <w:pStyle w:val="TableTitle"/>
              <w:keepNext/>
            </w:pPr>
            <w:r>
              <w:t xml:space="preserve">Specific areas set by the BSC Panel in the P346 </w:t>
            </w:r>
            <w:r w:rsidRPr="00FE69A6">
              <w:t>Terms of Reference</w:t>
            </w:r>
          </w:p>
        </w:tc>
      </w:tr>
      <w:tr w:rsidR="008D4BDC" w:rsidRPr="009419C6" w:rsidTr="004A5173">
        <w:trPr>
          <w:cantSplit/>
          <w:trHeight w:val="397"/>
        </w:trPr>
        <w:tc>
          <w:tcPr>
            <w:tcW w:w="8096" w:type="dxa"/>
          </w:tcPr>
          <w:p w:rsidR="008D4BDC" w:rsidRPr="00334C81" w:rsidRDefault="008D4BDC" w:rsidP="004A5173">
            <w:pPr>
              <w:pStyle w:val="TableBodyText"/>
            </w:pPr>
            <w:r w:rsidRPr="00334C81">
              <w:t xml:space="preserve">Is potential solution 1 or 2 the most appropriate to take forward and approve? </w:t>
            </w:r>
          </w:p>
        </w:tc>
      </w:tr>
      <w:tr w:rsidR="008D4BDC" w:rsidTr="004A5173">
        <w:trPr>
          <w:cantSplit/>
          <w:trHeight w:val="397"/>
        </w:trPr>
        <w:tc>
          <w:tcPr>
            <w:tcW w:w="8096" w:type="dxa"/>
          </w:tcPr>
          <w:p w:rsidR="008D4BDC" w:rsidRPr="00334C81" w:rsidRDefault="008D4BDC" w:rsidP="004A5173">
            <w:pPr>
              <w:pStyle w:val="TableBodyText"/>
            </w:pPr>
            <w:r w:rsidRPr="00334C81">
              <w:t xml:space="preserve">Is it appropriate to recover costs for NHH specific services from Elective HH sites? </w:t>
            </w:r>
          </w:p>
        </w:tc>
      </w:tr>
      <w:tr w:rsidR="008D4BDC" w:rsidTr="004A5173">
        <w:trPr>
          <w:cantSplit/>
          <w:trHeight w:val="397"/>
        </w:trPr>
        <w:tc>
          <w:tcPr>
            <w:tcW w:w="8096" w:type="dxa"/>
          </w:tcPr>
          <w:p w:rsidR="008D4BDC" w:rsidRPr="00334C81" w:rsidRDefault="008D4BDC" w:rsidP="004A5173">
            <w:pPr>
              <w:pStyle w:val="TableBodyText"/>
            </w:pPr>
            <w:r w:rsidRPr="00334C81">
              <w:t>Is the accuracy of proposed option 2 acceptable?</w:t>
            </w:r>
          </w:p>
        </w:tc>
      </w:tr>
      <w:tr w:rsidR="008D4BDC" w:rsidTr="004A5173">
        <w:trPr>
          <w:cantSplit/>
          <w:trHeight w:val="397"/>
        </w:trPr>
        <w:tc>
          <w:tcPr>
            <w:tcW w:w="8096" w:type="dxa"/>
          </w:tcPr>
          <w:p w:rsidR="008D4BDC" w:rsidRPr="00334C81" w:rsidRDefault="008D4BDC" w:rsidP="004A5173">
            <w:pPr>
              <w:pStyle w:val="TableBodyText"/>
            </w:pPr>
            <w:r w:rsidRPr="00334C81">
              <w:t>Is the Modification impacted by future changes to Measurement Classes “F” and “G”?</w:t>
            </w:r>
          </w:p>
        </w:tc>
      </w:tr>
      <w:tr w:rsidR="008D4BDC" w:rsidTr="004A5173">
        <w:trPr>
          <w:cantSplit/>
          <w:trHeight w:val="397"/>
        </w:trPr>
        <w:tc>
          <w:tcPr>
            <w:tcW w:w="8096" w:type="dxa"/>
          </w:tcPr>
          <w:p w:rsidR="008D4BDC" w:rsidRPr="00334C81" w:rsidRDefault="008D4BDC" w:rsidP="004A5173">
            <w:pPr>
              <w:pStyle w:val="TableBodyText"/>
            </w:pPr>
            <w:r w:rsidRPr="00334C81">
              <w:t>What changes are required to Section D Terminology?</w:t>
            </w:r>
          </w:p>
        </w:tc>
      </w:tr>
      <w:tr w:rsidR="008D4BDC" w:rsidTr="004A5173">
        <w:trPr>
          <w:cantSplit/>
          <w:trHeight w:val="397"/>
        </w:trPr>
        <w:tc>
          <w:tcPr>
            <w:tcW w:w="8096" w:type="dxa"/>
          </w:tcPr>
          <w:p w:rsidR="008D4BDC" w:rsidRPr="00334C81" w:rsidRDefault="008D4BDC" w:rsidP="004A5173">
            <w:pPr>
              <w:pStyle w:val="TableBodyText"/>
            </w:pPr>
            <w:r w:rsidRPr="00334C81">
              <w:t>Should P346 be progressed as a Self-Governance Modification?</w:t>
            </w:r>
          </w:p>
        </w:tc>
      </w:tr>
      <w:tr w:rsidR="008D4BDC" w:rsidTr="004A5173">
        <w:trPr>
          <w:cantSplit/>
          <w:trHeight w:val="397"/>
        </w:trPr>
        <w:tc>
          <w:tcPr>
            <w:tcW w:w="8096" w:type="dxa"/>
          </w:tcPr>
          <w:p w:rsidR="008D4BDC" w:rsidRPr="00334C81" w:rsidRDefault="008D4BDC" w:rsidP="004A5173">
            <w:pPr>
              <w:pStyle w:val="TableBodyText"/>
            </w:pPr>
            <w:r w:rsidRPr="00334C81">
              <w:t>What changes are needed to BSC documents, systems and processes to support P346 and what are the related costs and lead times?</w:t>
            </w:r>
          </w:p>
        </w:tc>
      </w:tr>
      <w:tr w:rsidR="008D4BDC" w:rsidTr="004A5173">
        <w:trPr>
          <w:cantSplit/>
          <w:trHeight w:val="397"/>
        </w:trPr>
        <w:tc>
          <w:tcPr>
            <w:tcW w:w="8096" w:type="dxa"/>
          </w:tcPr>
          <w:p w:rsidR="008D4BDC" w:rsidRPr="00334C81" w:rsidRDefault="008D4BDC" w:rsidP="004A5173">
            <w:pPr>
              <w:pStyle w:val="TableBodyText"/>
            </w:pPr>
            <w:r w:rsidRPr="00334C81">
              <w:t>Are there any Alternative Modifications?</w:t>
            </w:r>
          </w:p>
        </w:tc>
      </w:tr>
    </w:tbl>
    <w:p w:rsidR="008D4BDC" w:rsidRDefault="008D4BDC" w:rsidP="008D4BDC">
      <w:pPr>
        <w:pStyle w:val="ParagraphList"/>
        <w:numPr>
          <w:ilvl w:val="0"/>
          <w:numId w:val="0"/>
        </w:numPr>
        <w:spacing w:line="300" w:lineRule="exact"/>
        <w:ind w:left="567" w:hanging="567"/>
      </w:pPr>
    </w:p>
    <w:p w:rsidR="008D4BDC" w:rsidRDefault="008D4BDC" w:rsidP="008D4BDC">
      <w:pPr>
        <w:pStyle w:val="Heading4"/>
        <w:rPr>
          <w:noProof/>
        </w:rPr>
      </w:pPr>
      <w:r>
        <w:rPr>
          <w:noProof/>
        </w:rPr>
        <w:t>Assessment Procedure timetable</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400"/>
        <w:gridCol w:w="2700"/>
      </w:tblGrid>
      <w:tr w:rsidR="008D4BDC" w:rsidTr="004A5173">
        <w:trPr>
          <w:cantSplit/>
          <w:trHeight w:val="397"/>
          <w:tblHeader/>
        </w:trPr>
        <w:tc>
          <w:tcPr>
            <w:tcW w:w="8100" w:type="dxa"/>
            <w:gridSpan w:val="2"/>
            <w:tcBorders>
              <w:bottom w:val="single" w:sz="8" w:space="0" w:color="CCE0DA"/>
            </w:tcBorders>
            <w:shd w:val="clear" w:color="auto" w:fill="CCE0DA"/>
            <w:vAlign w:val="center"/>
          </w:tcPr>
          <w:p w:rsidR="008D4BDC" w:rsidRDefault="008D4BDC" w:rsidP="004A5173">
            <w:pPr>
              <w:pStyle w:val="TableTitle"/>
              <w:keepNext/>
            </w:pPr>
            <w:r>
              <w:t>P346 Assessment Timetable</w:t>
            </w:r>
          </w:p>
        </w:tc>
      </w:tr>
      <w:tr w:rsidR="008D4BDC" w:rsidTr="004A5173">
        <w:trPr>
          <w:cantSplit/>
          <w:trHeight w:val="397"/>
          <w:tblHeader/>
        </w:trPr>
        <w:tc>
          <w:tcPr>
            <w:tcW w:w="5400" w:type="dxa"/>
            <w:tcBorders>
              <w:top w:val="single" w:sz="8" w:space="0" w:color="CCE0DA"/>
            </w:tcBorders>
          </w:tcPr>
          <w:p w:rsidR="008D4BDC" w:rsidRDefault="008D4BDC" w:rsidP="004A5173">
            <w:pPr>
              <w:pStyle w:val="TableColumnHeading"/>
              <w:keepNext/>
            </w:pPr>
            <w:r>
              <w:t>Event</w:t>
            </w:r>
          </w:p>
        </w:tc>
        <w:tc>
          <w:tcPr>
            <w:tcW w:w="2700" w:type="dxa"/>
            <w:tcBorders>
              <w:top w:val="single" w:sz="8" w:space="0" w:color="CCE0DA"/>
            </w:tcBorders>
          </w:tcPr>
          <w:p w:rsidR="008D4BDC" w:rsidRDefault="008D4BDC" w:rsidP="004A5173">
            <w:pPr>
              <w:pStyle w:val="TableColumnHeading"/>
              <w:keepNext/>
            </w:pPr>
            <w:r>
              <w:t>Date</w:t>
            </w:r>
          </w:p>
        </w:tc>
      </w:tr>
      <w:tr w:rsidR="008D4BDC" w:rsidTr="004A5173">
        <w:trPr>
          <w:cantSplit/>
          <w:trHeight w:val="397"/>
        </w:trPr>
        <w:tc>
          <w:tcPr>
            <w:tcW w:w="5400" w:type="dxa"/>
          </w:tcPr>
          <w:p w:rsidR="008D4BDC" w:rsidRDefault="008D4BDC" w:rsidP="004A5173">
            <w:pPr>
              <w:pStyle w:val="TableBodyText"/>
            </w:pPr>
            <w:r>
              <w:t>Panel submits P346 to Assessment Procedure</w:t>
            </w:r>
          </w:p>
        </w:tc>
        <w:tc>
          <w:tcPr>
            <w:tcW w:w="2700" w:type="dxa"/>
          </w:tcPr>
          <w:p w:rsidR="008D4BDC" w:rsidRPr="001964CA" w:rsidRDefault="008D4BDC" w:rsidP="004A5173">
            <w:pPr>
              <w:pStyle w:val="TableBodyText"/>
            </w:pPr>
            <w:r>
              <w:t>8 July 2016</w:t>
            </w:r>
          </w:p>
        </w:tc>
      </w:tr>
      <w:tr w:rsidR="008D4BDC" w:rsidTr="004A5173">
        <w:trPr>
          <w:cantSplit/>
          <w:trHeight w:val="397"/>
        </w:trPr>
        <w:tc>
          <w:tcPr>
            <w:tcW w:w="5400" w:type="dxa"/>
          </w:tcPr>
          <w:p w:rsidR="008D4BDC" w:rsidRDefault="008D4BDC" w:rsidP="004A5173">
            <w:pPr>
              <w:pStyle w:val="TableBodyText"/>
            </w:pPr>
            <w:r>
              <w:t>Workgroup Meeting 1</w:t>
            </w:r>
          </w:p>
        </w:tc>
        <w:tc>
          <w:tcPr>
            <w:tcW w:w="2700" w:type="dxa"/>
          </w:tcPr>
          <w:p w:rsidR="008D4BDC" w:rsidRPr="001964CA" w:rsidRDefault="008D4BDC" w:rsidP="004A5173">
            <w:pPr>
              <w:pStyle w:val="TableBodyText"/>
            </w:pPr>
            <w:r>
              <w:t>25 July 2016</w:t>
            </w:r>
          </w:p>
        </w:tc>
      </w:tr>
      <w:tr w:rsidR="008D4BDC" w:rsidTr="004A5173">
        <w:trPr>
          <w:cantSplit/>
          <w:trHeight w:val="397"/>
        </w:trPr>
        <w:tc>
          <w:tcPr>
            <w:tcW w:w="5400" w:type="dxa"/>
          </w:tcPr>
          <w:p w:rsidR="008D4BDC" w:rsidRDefault="008D4BDC" w:rsidP="004A5173">
            <w:pPr>
              <w:pStyle w:val="TableBodyText"/>
            </w:pPr>
            <w:r>
              <w:t>Assessment Procedure Consultation</w:t>
            </w:r>
          </w:p>
        </w:tc>
        <w:tc>
          <w:tcPr>
            <w:tcW w:w="2700" w:type="dxa"/>
          </w:tcPr>
          <w:p w:rsidR="008D4BDC" w:rsidRDefault="008D4BDC" w:rsidP="004A5173">
            <w:pPr>
              <w:pStyle w:val="TableBodyText"/>
            </w:pPr>
            <w:r>
              <w:t>31 August – 19 September 2016</w:t>
            </w:r>
          </w:p>
        </w:tc>
      </w:tr>
      <w:tr w:rsidR="008D4BDC" w:rsidTr="004A5173">
        <w:trPr>
          <w:cantSplit/>
          <w:trHeight w:val="397"/>
        </w:trPr>
        <w:tc>
          <w:tcPr>
            <w:tcW w:w="5400" w:type="dxa"/>
          </w:tcPr>
          <w:p w:rsidR="008D4BDC" w:rsidRDefault="008D4BDC" w:rsidP="004A5173">
            <w:pPr>
              <w:pStyle w:val="TableBodyText"/>
            </w:pPr>
            <w:r>
              <w:t>Workgroup Meeting 4</w:t>
            </w:r>
          </w:p>
        </w:tc>
        <w:tc>
          <w:tcPr>
            <w:tcW w:w="2700" w:type="dxa"/>
          </w:tcPr>
          <w:p w:rsidR="008D4BDC" w:rsidRDefault="008D4BDC" w:rsidP="004A5173">
            <w:pPr>
              <w:pStyle w:val="TableBodyText"/>
            </w:pPr>
            <w:r>
              <w:t>26 September 2016</w:t>
            </w:r>
          </w:p>
        </w:tc>
      </w:tr>
      <w:tr w:rsidR="008D4BDC" w:rsidTr="004A5173">
        <w:trPr>
          <w:cantSplit/>
          <w:trHeight w:val="397"/>
        </w:trPr>
        <w:tc>
          <w:tcPr>
            <w:tcW w:w="5400" w:type="dxa"/>
          </w:tcPr>
          <w:p w:rsidR="008D4BDC" w:rsidRDefault="008D4BDC" w:rsidP="004A5173">
            <w:pPr>
              <w:pStyle w:val="TableBodyText"/>
            </w:pPr>
            <w:r>
              <w:t>Panel considers Workgroup’s Assessment Report</w:t>
            </w:r>
          </w:p>
        </w:tc>
        <w:tc>
          <w:tcPr>
            <w:tcW w:w="2700" w:type="dxa"/>
          </w:tcPr>
          <w:p w:rsidR="008D4BDC" w:rsidRDefault="008D4BDC" w:rsidP="004A5173">
            <w:pPr>
              <w:pStyle w:val="TableBodyText"/>
            </w:pPr>
            <w:r>
              <w:t>13 October 2016</w:t>
            </w:r>
          </w:p>
        </w:tc>
      </w:tr>
      <w:tr w:rsidR="008D4BDC" w:rsidTr="004A5173">
        <w:trPr>
          <w:cantSplit/>
          <w:trHeight w:val="397"/>
        </w:trPr>
        <w:tc>
          <w:tcPr>
            <w:tcW w:w="5400" w:type="dxa"/>
          </w:tcPr>
          <w:p w:rsidR="008D4BDC" w:rsidRDefault="008D4BDC" w:rsidP="004A5173">
            <w:pPr>
              <w:pStyle w:val="TableBodyText"/>
            </w:pPr>
            <w:r>
              <w:t>Report Phase Consultation</w:t>
            </w:r>
          </w:p>
        </w:tc>
        <w:tc>
          <w:tcPr>
            <w:tcW w:w="2700" w:type="dxa"/>
          </w:tcPr>
          <w:p w:rsidR="008D4BDC" w:rsidRDefault="008D4BDC" w:rsidP="004A5173">
            <w:pPr>
              <w:pStyle w:val="TableBodyText"/>
            </w:pPr>
            <w:r>
              <w:t>16 October – 2 November 2016</w:t>
            </w:r>
          </w:p>
        </w:tc>
      </w:tr>
      <w:tr w:rsidR="008D4BDC" w:rsidTr="004A5173">
        <w:trPr>
          <w:cantSplit/>
          <w:trHeight w:val="397"/>
        </w:trPr>
        <w:tc>
          <w:tcPr>
            <w:tcW w:w="5400" w:type="dxa"/>
          </w:tcPr>
          <w:p w:rsidR="008D4BDC" w:rsidRDefault="008D4BDC" w:rsidP="004A5173">
            <w:pPr>
              <w:pStyle w:val="TableBodyText"/>
            </w:pPr>
            <w:r>
              <w:t>Panel considers Draft Modification Report</w:t>
            </w:r>
          </w:p>
        </w:tc>
        <w:tc>
          <w:tcPr>
            <w:tcW w:w="2700" w:type="dxa"/>
          </w:tcPr>
          <w:p w:rsidR="008D4BDC" w:rsidRDefault="008D4BDC" w:rsidP="004A5173">
            <w:pPr>
              <w:pStyle w:val="TableBodyText"/>
            </w:pPr>
            <w:r>
              <w:t>10 November 2016</w:t>
            </w:r>
          </w:p>
        </w:tc>
      </w:tr>
      <w:tr w:rsidR="008D4BDC" w:rsidTr="004A5173">
        <w:trPr>
          <w:cantSplit/>
          <w:trHeight w:val="397"/>
        </w:trPr>
        <w:tc>
          <w:tcPr>
            <w:tcW w:w="5400" w:type="dxa"/>
          </w:tcPr>
          <w:p w:rsidR="008D4BDC" w:rsidRDefault="008D4BDC" w:rsidP="004A5173">
            <w:pPr>
              <w:pStyle w:val="TableBodyText"/>
            </w:pPr>
            <w:r>
              <w:t xml:space="preserve">Self-Governance appeal window </w:t>
            </w:r>
          </w:p>
        </w:tc>
        <w:tc>
          <w:tcPr>
            <w:tcW w:w="2700" w:type="dxa"/>
          </w:tcPr>
          <w:p w:rsidR="008D4BDC" w:rsidRDefault="008D4BDC" w:rsidP="004A5173">
            <w:pPr>
              <w:pStyle w:val="TableBodyText"/>
            </w:pPr>
            <w:r>
              <w:t>11 November – 1 December 2016</w:t>
            </w:r>
          </w:p>
        </w:tc>
      </w:tr>
    </w:tbl>
    <w:p w:rsidR="008A0BE7" w:rsidRDefault="008A0BE7" w:rsidP="008A0BE7">
      <w:pPr>
        <w:pStyle w:val="ParagraphList"/>
        <w:numPr>
          <w:ilvl w:val="0"/>
          <w:numId w:val="0"/>
        </w:numPr>
        <w:spacing w:line="300" w:lineRule="exact"/>
        <w:ind w:left="567" w:hanging="567"/>
      </w:pPr>
    </w:p>
    <w:p w:rsidR="008D4BDC" w:rsidRDefault="008A0BE7" w:rsidP="008D4BDC">
      <w:pPr>
        <w:pStyle w:val="Heading4"/>
        <w:pageBreakBefore/>
        <w:rPr>
          <w:noProof/>
        </w:rPr>
      </w:pPr>
      <w:r>
        <w:rPr>
          <w:noProof/>
        </w:rPr>
        <w:lastRenderedPageBreak/>
        <w:t>Work</w:t>
      </w:r>
      <w:r w:rsidR="008D4BDC">
        <w:rPr>
          <w:noProof/>
        </w:rPr>
        <w:t>group membership and attendance</w:t>
      </w:r>
    </w:p>
    <w:tbl>
      <w:tblPr>
        <w:tblStyle w:val="TableGrid"/>
        <w:tblW w:w="809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976"/>
        <w:gridCol w:w="3240"/>
        <w:gridCol w:w="1443"/>
        <w:gridCol w:w="357"/>
        <w:gridCol w:w="1080"/>
      </w:tblGrid>
      <w:tr w:rsidR="008D4BDC" w:rsidTr="004A5173">
        <w:trPr>
          <w:cantSplit/>
          <w:trHeight w:val="397"/>
          <w:tblHeader/>
        </w:trPr>
        <w:tc>
          <w:tcPr>
            <w:tcW w:w="7016" w:type="dxa"/>
            <w:gridSpan w:val="4"/>
            <w:tcBorders>
              <w:bottom w:val="single" w:sz="8" w:space="0" w:color="CCE0DA"/>
            </w:tcBorders>
            <w:shd w:val="clear" w:color="auto" w:fill="CCE0DA"/>
            <w:vAlign w:val="center"/>
          </w:tcPr>
          <w:p w:rsidR="008D4BDC" w:rsidRDefault="008D4BDC" w:rsidP="004A5173">
            <w:pPr>
              <w:pStyle w:val="TableTitle"/>
              <w:keepNext/>
            </w:pPr>
            <w:r>
              <w:t>P346 Workgroup Attendance</w:t>
            </w:r>
          </w:p>
        </w:tc>
        <w:tc>
          <w:tcPr>
            <w:tcW w:w="1080" w:type="dxa"/>
            <w:tcBorders>
              <w:bottom w:val="single" w:sz="8" w:space="0" w:color="CCE0DA"/>
            </w:tcBorders>
            <w:shd w:val="clear" w:color="auto" w:fill="CCE0DA"/>
          </w:tcPr>
          <w:p w:rsidR="008D4BDC" w:rsidRDefault="008D4BDC" w:rsidP="004A5173">
            <w:pPr>
              <w:pStyle w:val="TableTitle"/>
              <w:keepNext/>
            </w:pPr>
          </w:p>
        </w:tc>
      </w:tr>
      <w:tr w:rsidR="008D4BDC" w:rsidRPr="005B588C" w:rsidTr="004A5173">
        <w:trPr>
          <w:cantSplit/>
          <w:trHeight w:val="397"/>
          <w:tblHeader/>
        </w:trPr>
        <w:tc>
          <w:tcPr>
            <w:tcW w:w="1976" w:type="dxa"/>
            <w:tcBorders>
              <w:top w:val="single" w:sz="8" w:space="0" w:color="CCE0DA"/>
              <w:bottom w:val="single" w:sz="8" w:space="0" w:color="CCE0DA"/>
            </w:tcBorders>
          </w:tcPr>
          <w:p w:rsidR="008D4BDC" w:rsidRPr="00FA4EE9" w:rsidRDefault="008D4BDC" w:rsidP="004A5173">
            <w:pPr>
              <w:pStyle w:val="TableColumnHeading"/>
              <w:keepNext/>
            </w:pPr>
            <w:r w:rsidRPr="00FA4EE9">
              <w:t>Name</w:t>
            </w:r>
          </w:p>
        </w:tc>
        <w:tc>
          <w:tcPr>
            <w:tcW w:w="3240" w:type="dxa"/>
            <w:tcBorders>
              <w:top w:val="single" w:sz="8" w:space="0" w:color="CCE0DA"/>
              <w:bottom w:val="single" w:sz="8" w:space="0" w:color="CCE0DA"/>
            </w:tcBorders>
          </w:tcPr>
          <w:p w:rsidR="008D4BDC" w:rsidRPr="00FA4EE9" w:rsidRDefault="008D4BDC" w:rsidP="004A5173">
            <w:pPr>
              <w:pStyle w:val="TableColumnHeading"/>
              <w:keepNext/>
            </w:pPr>
            <w:r w:rsidRPr="00FA4EE9">
              <w:t>Organisation</w:t>
            </w:r>
          </w:p>
        </w:tc>
        <w:tc>
          <w:tcPr>
            <w:tcW w:w="1443" w:type="dxa"/>
            <w:tcBorders>
              <w:top w:val="single" w:sz="8" w:space="0" w:color="CCE0DA"/>
              <w:bottom w:val="single" w:sz="8" w:space="0" w:color="CCE0DA"/>
            </w:tcBorders>
          </w:tcPr>
          <w:p w:rsidR="008D4BDC" w:rsidRPr="00FA4EE9" w:rsidRDefault="008D4BDC" w:rsidP="004A5173">
            <w:pPr>
              <w:pStyle w:val="TableColumnHeading"/>
              <w:keepNext/>
              <w:jc w:val="center"/>
            </w:pPr>
            <w:r>
              <w:t>25 Jul 16</w:t>
            </w:r>
          </w:p>
        </w:tc>
        <w:tc>
          <w:tcPr>
            <w:tcW w:w="1437" w:type="dxa"/>
            <w:gridSpan w:val="2"/>
            <w:tcBorders>
              <w:top w:val="single" w:sz="8" w:space="0" w:color="CCE0DA"/>
              <w:bottom w:val="single" w:sz="8" w:space="0" w:color="CCE0DA"/>
            </w:tcBorders>
          </w:tcPr>
          <w:p w:rsidR="008D4BDC" w:rsidRDefault="008D4BDC" w:rsidP="004A5173">
            <w:pPr>
              <w:pStyle w:val="TableColumnHeading"/>
              <w:keepNext/>
              <w:jc w:val="center"/>
            </w:pPr>
            <w:r>
              <w:t>26 Sep 16</w:t>
            </w:r>
          </w:p>
          <w:p w:rsidR="008D4BDC" w:rsidRDefault="008D4BDC" w:rsidP="004A5173">
            <w:pPr>
              <w:pStyle w:val="TableColumnHeading"/>
              <w:keepNext/>
              <w:jc w:val="center"/>
            </w:pPr>
          </w:p>
        </w:tc>
      </w:tr>
      <w:tr w:rsidR="008D4BDC" w:rsidRPr="005B588C" w:rsidTr="004A5173">
        <w:trPr>
          <w:cantSplit/>
          <w:trHeight w:val="397"/>
        </w:trPr>
        <w:tc>
          <w:tcPr>
            <w:tcW w:w="8096" w:type="dxa"/>
            <w:gridSpan w:val="5"/>
            <w:tcBorders>
              <w:bottom w:val="single" w:sz="8" w:space="0" w:color="CCE0DA"/>
            </w:tcBorders>
            <w:shd w:val="clear" w:color="auto" w:fill="E5EFEC"/>
          </w:tcPr>
          <w:p w:rsidR="008D4BDC" w:rsidRDefault="008D4BDC" w:rsidP="004A5173">
            <w:pPr>
              <w:pStyle w:val="TableBodyText"/>
              <w:keepNext/>
            </w:pPr>
            <w:r>
              <w:t>Members</w:t>
            </w:r>
          </w:p>
        </w:tc>
      </w:tr>
      <w:tr w:rsidR="008D4BDC" w:rsidTr="004A5173">
        <w:trPr>
          <w:cantSplit/>
          <w:trHeight w:val="397"/>
        </w:trPr>
        <w:tc>
          <w:tcPr>
            <w:tcW w:w="1976" w:type="dxa"/>
            <w:tcBorders>
              <w:top w:val="single" w:sz="8" w:space="0" w:color="CCE0DA"/>
            </w:tcBorders>
            <w:vAlign w:val="center"/>
          </w:tcPr>
          <w:p w:rsidR="008D4BDC" w:rsidRPr="000B4BE4" w:rsidRDefault="008D4BDC" w:rsidP="004A5173">
            <w:pPr>
              <w:pStyle w:val="TableBodyText"/>
            </w:pPr>
            <w:r w:rsidRPr="000B4BE4">
              <w:t>David Kemp</w:t>
            </w:r>
          </w:p>
        </w:tc>
        <w:tc>
          <w:tcPr>
            <w:tcW w:w="3240" w:type="dxa"/>
            <w:tcBorders>
              <w:top w:val="single" w:sz="8" w:space="0" w:color="CCE0DA"/>
            </w:tcBorders>
          </w:tcPr>
          <w:p w:rsidR="008D4BDC" w:rsidRPr="000B4BE4" w:rsidRDefault="008D4BDC" w:rsidP="004A5173">
            <w:pPr>
              <w:pStyle w:val="TableBodyText"/>
            </w:pPr>
            <w:r w:rsidRPr="000B4BE4">
              <w:t>ELEXON (Chair)</w:t>
            </w:r>
          </w:p>
        </w:tc>
        <w:tc>
          <w:tcPr>
            <w:tcW w:w="1443" w:type="dxa"/>
            <w:tcBorders>
              <w:top w:val="single" w:sz="8" w:space="0" w:color="CCE0DA"/>
            </w:tcBorders>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tcBorders>
              <w:top w:val="single" w:sz="8" w:space="0" w:color="CCE0DA"/>
            </w:tcBorders>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B"/>
            </w:r>
          </w:p>
        </w:tc>
      </w:tr>
      <w:tr w:rsidR="008D4BDC" w:rsidTr="004A5173">
        <w:trPr>
          <w:cantSplit/>
          <w:trHeight w:val="397"/>
        </w:trPr>
        <w:tc>
          <w:tcPr>
            <w:tcW w:w="1976" w:type="dxa"/>
            <w:vAlign w:val="center"/>
          </w:tcPr>
          <w:p w:rsidR="008D4BDC" w:rsidRPr="000B4BE4" w:rsidRDefault="008D4BDC" w:rsidP="004A5173">
            <w:pPr>
              <w:pStyle w:val="TableBodyText"/>
            </w:pPr>
            <w:r w:rsidRPr="000B4BE4">
              <w:t xml:space="preserve">Giulia </w:t>
            </w:r>
            <w:proofErr w:type="spellStart"/>
            <w:r w:rsidRPr="000B4BE4">
              <w:t>Barranu</w:t>
            </w:r>
            <w:proofErr w:type="spellEnd"/>
          </w:p>
        </w:tc>
        <w:tc>
          <w:tcPr>
            <w:tcW w:w="3240" w:type="dxa"/>
          </w:tcPr>
          <w:p w:rsidR="008D4BDC" w:rsidRPr="000B4BE4" w:rsidRDefault="008D4BDC" w:rsidP="004A5173">
            <w:pPr>
              <w:pStyle w:val="TableBodyText"/>
            </w:pPr>
            <w:r w:rsidRPr="000B4BE4">
              <w:t>ELEXON (Chair)</w:t>
            </w:r>
          </w:p>
        </w:tc>
        <w:tc>
          <w:tcPr>
            <w:tcW w:w="1443" w:type="dxa"/>
            <w:vAlign w:val="center"/>
          </w:tcPr>
          <w:p w:rsidR="008D4BDC" w:rsidRPr="00A00E9F" w:rsidRDefault="008D4BDC" w:rsidP="004A5173">
            <w:pPr>
              <w:spacing w:line="240" w:lineRule="auto"/>
              <w:ind w:left="113" w:right="113"/>
              <w:jc w:val="center"/>
              <w:rPr>
                <w:rFonts w:cs="Tahoma"/>
                <w:color w:val="008576"/>
                <w:sz w:val="28"/>
              </w:rPr>
            </w:pPr>
            <w:r w:rsidRPr="00A00E9F">
              <w:rPr>
                <w:rFonts w:cs="Tahoma"/>
                <w:color w:val="008576"/>
                <w:sz w:val="28"/>
              </w:rPr>
              <w:sym w:font="Wingdings" w:char="F0FB"/>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r>
      <w:tr w:rsidR="008D4BDC" w:rsidTr="004A5173">
        <w:trPr>
          <w:cantSplit/>
          <w:trHeight w:val="397"/>
        </w:trPr>
        <w:tc>
          <w:tcPr>
            <w:tcW w:w="1976" w:type="dxa"/>
            <w:vAlign w:val="center"/>
          </w:tcPr>
          <w:p w:rsidR="008D4BDC" w:rsidRPr="000B4BE4" w:rsidRDefault="008D4BDC" w:rsidP="004A5173">
            <w:pPr>
              <w:pStyle w:val="TableBodyText"/>
            </w:pPr>
            <w:r w:rsidRPr="000B4BE4">
              <w:t>Royston Black</w:t>
            </w:r>
          </w:p>
        </w:tc>
        <w:tc>
          <w:tcPr>
            <w:tcW w:w="3240" w:type="dxa"/>
          </w:tcPr>
          <w:p w:rsidR="008D4BDC" w:rsidRPr="000B4BE4" w:rsidRDefault="008D4BDC" w:rsidP="004A5173">
            <w:pPr>
              <w:pStyle w:val="TableBodyText"/>
            </w:pPr>
            <w:r w:rsidRPr="000B4BE4">
              <w:t>ELEXON (Lead Analyst)</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r>
      <w:tr w:rsidR="008D4BDC" w:rsidTr="004A5173">
        <w:trPr>
          <w:cantSplit/>
          <w:trHeight w:val="397"/>
        </w:trPr>
        <w:tc>
          <w:tcPr>
            <w:tcW w:w="1976" w:type="dxa"/>
            <w:vAlign w:val="center"/>
          </w:tcPr>
          <w:p w:rsidR="008D4BDC" w:rsidRPr="000B4BE4" w:rsidRDefault="008D4BDC" w:rsidP="004A5173">
            <w:pPr>
              <w:pStyle w:val="TableBodyText"/>
            </w:pPr>
            <w:r w:rsidRPr="000B4BE4">
              <w:t>Mitch Donnelly</w:t>
            </w:r>
          </w:p>
        </w:tc>
        <w:tc>
          <w:tcPr>
            <w:tcW w:w="3240" w:type="dxa"/>
            <w:vAlign w:val="center"/>
          </w:tcPr>
          <w:p w:rsidR="008D4BDC" w:rsidRPr="000B4BE4" w:rsidRDefault="008D4BDC" w:rsidP="004A5173">
            <w:pPr>
              <w:pStyle w:val="TableBodyText"/>
            </w:pPr>
            <w:r w:rsidRPr="000B4BE4">
              <w:t>British Gas (Proposer)</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 w:val="28"/>
              </w:rPr>
            </w:pPr>
            <w:r w:rsidRPr="00A00E9F">
              <w:rPr>
                <w:rFonts w:cs="Tahoma"/>
                <w:color w:val="008576"/>
                <w:sz w:val="28"/>
              </w:rPr>
              <w:sym w:font="Wingdings" w:char="F0FC"/>
            </w:r>
          </w:p>
        </w:tc>
      </w:tr>
      <w:tr w:rsidR="008D4BDC" w:rsidTr="004A5173">
        <w:trPr>
          <w:cantSplit/>
          <w:trHeight w:val="397"/>
        </w:trPr>
        <w:tc>
          <w:tcPr>
            <w:tcW w:w="1976" w:type="dxa"/>
            <w:vAlign w:val="center"/>
          </w:tcPr>
          <w:p w:rsidR="008D4BDC" w:rsidRPr="000B4BE4" w:rsidRDefault="008D4BDC" w:rsidP="004A5173">
            <w:pPr>
              <w:pStyle w:val="TableBodyText"/>
            </w:pPr>
            <w:r w:rsidRPr="000B4BE4">
              <w:t>Philip Russell</w:t>
            </w:r>
          </w:p>
        </w:tc>
        <w:tc>
          <w:tcPr>
            <w:tcW w:w="3240" w:type="dxa"/>
            <w:vAlign w:val="center"/>
          </w:tcPr>
          <w:p w:rsidR="008D4BDC" w:rsidRPr="000B4BE4" w:rsidRDefault="008D4BDC" w:rsidP="004A5173">
            <w:pPr>
              <w:pStyle w:val="TableBodyText"/>
            </w:pPr>
            <w:r w:rsidRPr="000B4BE4">
              <w:t>Independent</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r>
      <w:tr w:rsidR="008D4BDC" w:rsidTr="004A5173">
        <w:trPr>
          <w:cantSplit/>
          <w:trHeight w:val="397"/>
        </w:trPr>
        <w:tc>
          <w:tcPr>
            <w:tcW w:w="1976" w:type="dxa"/>
            <w:vAlign w:val="center"/>
          </w:tcPr>
          <w:p w:rsidR="008D4BDC" w:rsidRPr="000B4BE4" w:rsidRDefault="008D4BDC" w:rsidP="004A5173">
            <w:pPr>
              <w:pStyle w:val="TableBodyText"/>
            </w:pPr>
            <w:r w:rsidRPr="000B4BE4">
              <w:t>Eric Graham</w:t>
            </w:r>
          </w:p>
        </w:tc>
        <w:tc>
          <w:tcPr>
            <w:tcW w:w="3240" w:type="dxa"/>
            <w:vAlign w:val="center"/>
          </w:tcPr>
          <w:p w:rsidR="008D4BDC" w:rsidRPr="000B4BE4" w:rsidRDefault="008D4BDC" w:rsidP="004A5173">
            <w:pPr>
              <w:pStyle w:val="TableBodyText"/>
            </w:pPr>
            <w:r w:rsidRPr="000B4BE4">
              <w:t>Independent</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b/>
                <w:color w:val="008576"/>
                <w:szCs w:val="20"/>
              </w:rPr>
            </w:pPr>
            <w:r w:rsidRPr="00A00E9F">
              <w:rPr>
                <w:rFonts w:cs="Tahoma"/>
                <w:color w:val="008576"/>
                <w:sz w:val="28"/>
              </w:rPr>
              <w:sym w:font="Wingdings" w:char="F0FB"/>
            </w:r>
          </w:p>
        </w:tc>
      </w:tr>
      <w:tr w:rsidR="008D4BDC" w:rsidTr="004A5173">
        <w:trPr>
          <w:cantSplit/>
          <w:trHeight w:val="397"/>
        </w:trPr>
        <w:tc>
          <w:tcPr>
            <w:tcW w:w="1976" w:type="dxa"/>
            <w:vAlign w:val="center"/>
          </w:tcPr>
          <w:p w:rsidR="008D4BDC" w:rsidRPr="000B4BE4" w:rsidRDefault="008D4BDC" w:rsidP="004A5173">
            <w:pPr>
              <w:pStyle w:val="TableBodyText"/>
            </w:pPr>
            <w:r w:rsidRPr="000B4BE4">
              <w:t>Christopher Rotherham</w:t>
            </w:r>
          </w:p>
        </w:tc>
        <w:tc>
          <w:tcPr>
            <w:tcW w:w="3240" w:type="dxa"/>
            <w:vAlign w:val="center"/>
          </w:tcPr>
          <w:p w:rsidR="008D4BDC" w:rsidRPr="000B4BE4" w:rsidRDefault="008D4BDC" w:rsidP="004A5173">
            <w:pPr>
              <w:pStyle w:val="TableBodyText"/>
            </w:pPr>
            <w:r w:rsidRPr="000B4BE4">
              <w:t>Opus Energy</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r>
      <w:tr w:rsidR="008D4BDC" w:rsidTr="004A5173">
        <w:trPr>
          <w:cantSplit/>
          <w:trHeight w:val="397"/>
        </w:trPr>
        <w:tc>
          <w:tcPr>
            <w:tcW w:w="1976" w:type="dxa"/>
            <w:vAlign w:val="center"/>
          </w:tcPr>
          <w:p w:rsidR="008D4BDC" w:rsidRPr="000B4BE4" w:rsidRDefault="008D4BDC" w:rsidP="004A5173">
            <w:pPr>
              <w:pStyle w:val="TableBodyText"/>
            </w:pPr>
            <w:r w:rsidRPr="000B4BE4">
              <w:t>Cian Fitzgerald</w:t>
            </w:r>
          </w:p>
        </w:tc>
        <w:tc>
          <w:tcPr>
            <w:tcW w:w="3240" w:type="dxa"/>
            <w:vAlign w:val="center"/>
          </w:tcPr>
          <w:p w:rsidR="008D4BDC" w:rsidRPr="000B4BE4" w:rsidRDefault="008D4BDC" w:rsidP="004A5173">
            <w:pPr>
              <w:pStyle w:val="TableBodyText"/>
            </w:pPr>
            <w:r w:rsidRPr="000B4BE4">
              <w:t>OVO Energy</w:t>
            </w:r>
          </w:p>
        </w:tc>
        <w:tc>
          <w:tcPr>
            <w:tcW w:w="1443" w:type="dxa"/>
            <w:vAlign w:val="center"/>
          </w:tcPr>
          <w:p w:rsidR="008D4BDC" w:rsidRPr="00A00E9F" w:rsidRDefault="008D4BDC" w:rsidP="004A5173">
            <w:pPr>
              <w:spacing w:line="240" w:lineRule="auto"/>
              <w:ind w:left="113" w:right="113"/>
              <w:jc w:val="center"/>
              <w:rPr>
                <w:rFonts w:cs="Tahoma"/>
                <w:b/>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8D4BDC" w:rsidTr="004A5173">
        <w:trPr>
          <w:cantSplit/>
          <w:trHeight w:val="397"/>
        </w:trPr>
        <w:tc>
          <w:tcPr>
            <w:tcW w:w="1976" w:type="dxa"/>
            <w:vAlign w:val="center"/>
          </w:tcPr>
          <w:p w:rsidR="008D4BDC" w:rsidRPr="000B4BE4" w:rsidRDefault="008D4BDC" w:rsidP="004A5173">
            <w:pPr>
              <w:pStyle w:val="TableBodyText"/>
            </w:pPr>
            <w:r w:rsidRPr="000B4BE4">
              <w:t xml:space="preserve">Dan </w:t>
            </w:r>
            <w:proofErr w:type="spellStart"/>
            <w:r w:rsidRPr="000B4BE4">
              <w:t>Starman</w:t>
            </w:r>
            <w:proofErr w:type="spellEnd"/>
          </w:p>
        </w:tc>
        <w:tc>
          <w:tcPr>
            <w:tcW w:w="3240" w:type="dxa"/>
            <w:vAlign w:val="center"/>
          </w:tcPr>
          <w:p w:rsidR="008D4BDC" w:rsidRPr="000B4BE4" w:rsidRDefault="008D4BDC" w:rsidP="004A5173">
            <w:pPr>
              <w:pStyle w:val="TableBodyText"/>
            </w:pPr>
            <w:r w:rsidRPr="000B4BE4">
              <w:t>Cornwall Energy</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ascii="Wingdings" w:hAnsi="Wingdings" w:cs="Tahoma"/>
                <w:color w:val="008576"/>
                <w:sz w:val="24"/>
              </w:rPr>
              <w:t></w:t>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B"/>
            </w:r>
          </w:p>
        </w:tc>
      </w:tr>
      <w:tr w:rsidR="008D4BDC" w:rsidTr="004A5173">
        <w:trPr>
          <w:cantSplit/>
          <w:trHeight w:val="397"/>
        </w:trPr>
        <w:tc>
          <w:tcPr>
            <w:tcW w:w="1976" w:type="dxa"/>
            <w:vAlign w:val="center"/>
          </w:tcPr>
          <w:p w:rsidR="008D4BDC" w:rsidRPr="000B4BE4" w:rsidRDefault="008D4BDC" w:rsidP="004A5173">
            <w:pPr>
              <w:pStyle w:val="TableBodyText"/>
            </w:pPr>
            <w:r w:rsidRPr="000B4BE4">
              <w:t>Andrew Colley</w:t>
            </w:r>
          </w:p>
        </w:tc>
        <w:tc>
          <w:tcPr>
            <w:tcW w:w="3240" w:type="dxa"/>
            <w:vAlign w:val="center"/>
          </w:tcPr>
          <w:p w:rsidR="008D4BDC" w:rsidRPr="000B4BE4" w:rsidRDefault="008D4BDC" w:rsidP="004A5173">
            <w:pPr>
              <w:pStyle w:val="TableBodyText"/>
            </w:pPr>
            <w:r w:rsidRPr="000B4BE4">
              <w:t xml:space="preserve">SSE </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ascii="Wingdings" w:hAnsi="Wingdings" w:cs="Tahoma"/>
                <w:color w:val="008576"/>
                <w:sz w:val="24"/>
              </w:rPr>
              <w:t></w:t>
            </w:r>
          </w:p>
        </w:tc>
      </w:tr>
      <w:tr w:rsidR="008D4BDC" w:rsidTr="004A5173">
        <w:trPr>
          <w:cantSplit/>
          <w:trHeight w:val="397"/>
        </w:trPr>
        <w:tc>
          <w:tcPr>
            <w:tcW w:w="1976" w:type="dxa"/>
            <w:vAlign w:val="center"/>
          </w:tcPr>
          <w:p w:rsidR="008D4BDC" w:rsidRPr="000B4BE4" w:rsidRDefault="008D4BDC" w:rsidP="004A5173">
            <w:pPr>
              <w:pStyle w:val="TableBodyText"/>
            </w:pPr>
            <w:r w:rsidRPr="000B4BE4">
              <w:t>James Murphy</w:t>
            </w:r>
          </w:p>
        </w:tc>
        <w:tc>
          <w:tcPr>
            <w:tcW w:w="3240" w:type="dxa"/>
            <w:vAlign w:val="center"/>
          </w:tcPr>
          <w:p w:rsidR="008D4BDC" w:rsidRPr="000B4BE4" w:rsidRDefault="008D4BDC" w:rsidP="004A5173">
            <w:pPr>
              <w:pStyle w:val="TableBodyText"/>
            </w:pPr>
            <w:r w:rsidRPr="000B4BE4">
              <w:t>Stark Energy</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B"/>
            </w:r>
          </w:p>
        </w:tc>
      </w:tr>
      <w:tr w:rsidR="008D4BDC" w:rsidTr="004A5173">
        <w:trPr>
          <w:cantSplit/>
          <w:trHeight w:val="397"/>
        </w:trPr>
        <w:tc>
          <w:tcPr>
            <w:tcW w:w="1976" w:type="dxa"/>
            <w:vAlign w:val="center"/>
          </w:tcPr>
          <w:p w:rsidR="008D4BDC" w:rsidRPr="000B4BE4" w:rsidRDefault="008D4BDC" w:rsidP="004A5173">
            <w:pPr>
              <w:pStyle w:val="TableBodyText"/>
            </w:pPr>
            <w:r w:rsidRPr="000B4BE4">
              <w:t xml:space="preserve">David </w:t>
            </w:r>
            <w:proofErr w:type="spellStart"/>
            <w:r w:rsidRPr="000B4BE4">
              <w:t>Finnemore</w:t>
            </w:r>
            <w:proofErr w:type="spellEnd"/>
          </w:p>
        </w:tc>
        <w:tc>
          <w:tcPr>
            <w:tcW w:w="3240" w:type="dxa"/>
            <w:vAlign w:val="center"/>
          </w:tcPr>
          <w:p w:rsidR="008D4BDC" w:rsidRPr="000B4BE4" w:rsidRDefault="008D4BDC" w:rsidP="004A5173">
            <w:pPr>
              <w:pStyle w:val="TableBodyText"/>
            </w:pPr>
            <w:proofErr w:type="spellStart"/>
            <w:r w:rsidRPr="000B4BE4">
              <w:t>Engie</w:t>
            </w:r>
            <w:proofErr w:type="spellEnd"/>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B"/>
            </w:r>
          </w:p>
        </w:tc>
      </w:tr>
      <w:tr w:rsidR="008D4BDC" w:rsidTr="004A5173">
        <w:trPr>
          <w:cantSplit/>
          <w:trHeight w:val="397"/>
        </w:trPr>
        <w:tc>
          <w:tcPr>
            <w:tcW w:w="1976" w:type="dxa"/>
            <w:vAlign w:val="center"/>
          </w:tcPr>
          <w:p w:rsidR="008D4BDC" w:rsidRPr="000B4BE4" w:rsidRDefault="008D4BDC" w:rsidP="004A5173">
            <w:pPr>
              <w:pStyle w:val="TableBodyText"/>
            </w:pPr>
            <w:r w:rsidRPr="000B4BE4">
              <w:t>Ed Sutton</w:t>
            </w:r>
          </w:p>
        </w:tc>
        <w:tc>
          <w:tcPr>
            <w:tcW w:w="3240" w:type="dxa"/>
            <w:vAlign w:val="center"/>
          </w:tcPr>
          <w:p w:rsidR="008D4BDC" w:rsidRPr="000B4BE4" w:rsidRDefault="008D4BDC" w:rsidP="004A5173">
            <w:pPr>
              <w:pStyle w:val="TableBodyText"/>
            </w:pPr>
            <w:r w:rsidRPr="000B4BE4">
              <w:t>Clarity Data</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B"/>
            </w:r>
          </w:p>
        </w:tc>
      </w:tr>
      <w:tr w:rsidR="008D4BDC" w:rsidRPr="005B588C" w:rsidTr="004A5173">
        <w:trPr>
          <w:cantSplit/>
          <w:trHeight w:val="397"/>
        </w:trPr>
        <w:tc>
          <w:tcPr>
            <w:tcW w:w="8096" w:type="dxa"/>
            <w:gridSpan w:val="5"/>
            <w:tcBorders>
              <w:bottom w:val="single" w:sz="8" w:space="0" w:color="CCE0DA"/>
            </w:tcBorders>
            <w:shd w:val="clear" w:color="auto" w:fill="E5EFEC"/>
          </w:tcPr>
          <w:p w:rsidR="008D4BDC" w:rsidRPr="00580AEE" w:rsidRDefault="008D4BDC" w:rsidP="004A5173">
            <w:pPr>
              <w:pStyle w:val="TableBodyText"/>
            </w:pPr>
          </w:p>
        </w:tc>
      </w:tr>
      <w:tr w:rsidR="008D4BDC" w:rsidTr="004A5173">
        <w:trPr>
          <w:cantSplit/>
          <w:trHeight w:val="397"/>
        </w:trPr>
        <w:tc>
          <w:tcPr>
            <w:tcW w:w="1976" w:type="dxa"/>
          </w:tcPr>
          <w:p w:rsidR="008D4BDC" w:rsidRPr="00580AEE" w:rsidRDefault="008D4BDC" w:rsidP="004A5173">
            <w:pPr>
              <w:pStyle w:val="TableBodyText"/>
            </w:pPr>
            <w:r>
              <w:t>Kevin Spencer</w:t>
            </w:r>
          </w:p>
        </w:tc>
        <w:tc>
          <w:tcPr>
            <w:tcW w:w="3240" w:type="dxa"/>
          </w:tcPr>
          <w:p w:rsidR="008D4BDC" w:rsidRPr="00580AEE" w:rsidRDefault="008D4BDC" w:rsidP="004A5173">
            <w:pPr>
              <w:pStyle w:val="TableBodyText"/>
            </w:pPr>
            <w:r w:rsidRPr="00580AEE">
              <w:t xml:space="preserve">ELEXON </w:t>
            </w:r>
            <w:r w:rsidRPr="00580AEE">
              <w:rPr>
                <w:i/>
              </w:rPr>
              <w:t>(Design Authority)</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r>
      <w:tr w:rsidR="008D4BDC" w:rsidTr="004A5173">
        <w:trPr>
          <w:cantSplit/>
          <w:trHeight w:val="397"/>
        </w:trPr>
        <w:tc>
          <w:tcPr>
            <w:tcW w:w="1976" w:type="dxa"/>
          </w:tcPr>
          <w:p w:rsidR="008D4BDC" w:rsidRDefault="008D4BDC" w:rsidP="004A5173">
            <w:pPr>
              <w:pStyle w:val="TableBodyText"/>
            </w:pPr>
            <w:r>
              <w:t>Elliott Hall</w:t>
            </w:r>
          </w:p>
        </w:tc>
        <w:tc>
          <w:tcPr>
            <w:tcW w:w="3240" w:type="dxa"/>
          </w:tcPr>
          <w:p w:rsidR="008D4BDC" w:rsidRPr="00580AEE" w:rsidRDefault="008D4BDC" w:rsidP="004A5173">
            <w:pPr>
              <w:pStyle w:val="TableBodyText"/>
            </w:pPr>
            <w:r w:rsidRPr="00580AEE">
              <w:t xml:space="preserve">ELEXON </w:t>
            </w:r>
            <w:r w:rsidRPr="00580AEE">
              <w:rPr>
                <w:i/>
              </w:rPr>
              <w:t>(Design Authority)</w:t>
            </w:r>
          </w:p>
        </w:tc>
        <w:tc>
          <w:tcPr>
            <w:tcW w:w="1443" w:type="dxa"/>
            <w:vAlign w:val="center"/>
          </w:tcPr>
          <w:p w:rsidR="008D4BDC" w:rsidRPr="00A00E9F" w:rsidRDefault="008D4BDC" w:rsidP="004A5173">
            <w:pPr>
              <w:pStyle w:val="TableBodyText"/>
              <w:jc w:val="center"/>
            </w:pPr>
            <w:r w:rsidRPr="00A00E9F">
              <w:rPr>
                <w:rFonts w:cs="Tahoma"/>
                <w:sz w:val="28"/>
              </w:rPr>
              <w:sym w:font="Wingdings" w:char="F0FB"/>
            </w:r>
          </w:p>
        </w:tc>
        <w:tc>
          <w:tcPr>
            <w:tcW w:w="1437" w:type="dxa"/>
            <w:gridSpan w:val="2"/>
            <w:vAlign w:val="center"/>
          </w:tcPr>
          <w:p w:rsidR="008D4BDC" w:rsidRPr="00A00E9F" w:rsidRDefault="008D4BDC" w:rsidP="004A517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r>
      <w:tr w:rsidR="008D4BDC" w:rsidTr="004A5173">
        <w:trPr>
          <w:cantSplit/>
          <w:trHeight w:val="397"/>
        </w:trPr>
        <w:tc>
          <w:tcPr>
            <w:tcW w:w="1976" w:type="dxa"/>
          </w:tcPr>
          <w:p w:rsidR="008D4BDC" w:rsidRPr="00580AEE" w:rsidRDefault="008D4BDC" w:rsidP="004A5173">
            <w:pPr>
              <w:pStyle w:val="TableBodyText"/>
            </w:pPr>
            <w:r>
              <w:t>Nicholas Brown</w:t>
            </w:r>
          </w:p>
        </w:tc>
        <w:tc>
          <w:tcPr>
            <w:tcW w:w="3240" w:type="dxa"/>
          </w:tcPr>
          <w:p w:rsidR="008D4BDC" w:rsidRPr="00580AEE" w:rsidRDefault="008D4BDC" w:rsidP="004A5173">
            <w:pPr>
              <w:pStyle w:val="TableBodyText"/>
            </w:pPr>
            <w:r w:rsidRPr="00580AEE">
              <w:t xml:space="preserve">ELEXON </w:t>
            </w:r>
            <w:r w:rsidRPr="00580AEE">
              <w:rPr>
                <w:i/>
              </w:rPr>
              <w:t>(Lead Lawyer)</w:t>
            </w:r>
          </w:p>
        </w:tc>
        <w:tc>
          <w:tcPr>
            <w:tcW w:w="1443" w:type="dxa"/>
            <w:vAlign w:val="center"/>
          </w:tcPr>
          <w:p w:rsidR="008D4BDC" w:rsidRPr="00A00E9F" w:rsidRDefault="008D4BDC" w:rsidP="004A5173">
            <w:pPr>
              <w:spacing w:line="240" w:lineRule="auto"/>
              <w:ind w:left="113" w:right="113"/>
              <w:jc w:val="center"/>
              <w:rPr>
                <w:rFonts w:cs="Tahoma"/>
                <w:color w:val="008576"/>
                <w:szCs w:val="20"/>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contextualSpacing/>
              <w:jc w:val="center"/>
              <w:rPr>
                <w:rFonts w:cs="Tahoma"/>
                <w:color w:val="008576"/>
                <w:szCs w:val="22"/>
              </w:rPr>
            </w:pPr>
            <w:r w:rsidRPr="00A00E9F">
              <w:rPr>
                <w:rFonts w:cs="Tahoma"/>
                <w:color w:val="008576"/>
                <w:sz w:val="28"/>
              </w:rPr>
              <w:sym w:font="Wingdings" w:char="F0FB"/>
            </w:r>
          </w:p>
        </w:tc>
      </w:tr>
      <w:tr w:rsidR="008D4BDC" w:rsidTr="004A5173">
        <w:trPr>
          <w:cantSplit/>
          <w:trHeight w:val="397"/>
        </w:trPr>
        <w:tc>
          <w:tcPr>
            <w:tcW w:w="1976" w:type="dxa"/>
          </w:tcPr>
          <w:p w:rsidR="008D4BDC" w:rsidRPr="00580AEE" w:rsidRDefault="008D4BDC" w:rsidP="004A5173">
            <w:pPr>
              <w:pStyle w:val="TableBodyText"/>
            </w:pPr>
            <w:r>
              <w:t>Martin Bell</w:t>
            </w:r>
          </w:p>
        </w:tc>
        <w:tc>
          <w:tcPr>
            <w:tcW w:w="3240" w:type="dxa"/>
          </w:tcPr>
          <w:p w:rsidR="008D4BDC" w:rsidRPr="00580AEE" w:rsidRDefault="008D4BDC" w:rsidP="004A5173">
            <w:pPr>
              <w:pStyle w:val="TableBodyText"/>
            </w:pPr>
            <w:proofErr w:type="spellStart"/>
            <w:r w:rsidRPr="00580AEE">
              <w:t>Ofgem</w:t>
            </w:r>
            <w:proofErr w:type="spellEnd"/>
          </w:p>
        </w:tc>
        <w:tc>
          <w:tcPr>
            <w:tcW w:w="1443" w:type="dxa"/>
            <w:vAlign w:val="center"/>
          </w:tcPr>
          <w:p w:rsidR="008D4BDC" w:rsidRPr="00A00E9F" w:rsidRDefault="008D4BDC" w:rsidP="004A5173">
            <w:pPr>
              <w:spacing w:line="240" w:lineRule="auto"/>
              <w:ind w:left="113" w:right="113"/>
              <w:jc w:val="center"/>
              <w:rPr>
                <w:rFonts w:cs="Tahoma"/>
                <w:color w:val="008576"/>
                <w:sz w:val="28"/>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contextualSpacing/>
              <w:jc w:val="center"/>
              <w:rPr>
                <w:rFonts w:cs="Tahoma"/>
                <w:color w:val="008576"/>
                <w:sz w:val="28"/>
              </w:rPr>
            </w:pPr>
            <w:r w:rsidRPr="00A00E9F">
              <w:rPr>
                <w:rFonts w:cs="Tahoma"/>
                <w:color w:val="008576"/>
                <w:sz w:val="28"/>
              </w:rPr>
              <w:sym w:font="Wingdings" w:char="F0FC"/>
            </w:r>
          </w:p>
        </w:tc>
      </w:tr>
      <w:tr w:rsidR="008D4BDC" w:rsidTr="004A5173">
        <w:trPr>
          <w:cantSplit/>
          <w:trHeight w:val="397"/>
        </w:trPr>
        <w:tc>
          <w:tcPr>
            <w:tcW w:w="1976" w:type="dxa"/>
          </w:tcPr>
          <w:p w:rsidR="008D4BDC" w:rsidRPr="00580AEE" w:rsidRDefault="008D4BDC" w:rsidP="004A5173">
            <w:pPr>
              <w:pStyle w:val="TableBodyText"/>
            </w:pPr>
            <w:r>
              <w:t>Darren Draper</w:t>
            </w:r>
          </w:p>
        </w:tc>
        <w:tc>
          <w:tcPr>
            <w:tcW w:w="3240" w:type="dxa"/>
          </w:tcPr>
          <w:p w:rsidR="008D4BDC" w:rsidRPr="00580AEE" w:rsidRDefault="008D4BDC" w:rsidP="004A5173">
            <w:pPr>
              <w:pStyle w:val="TableBodyText"/>
            </w:pPr>
            <w:r>
              <w:t>ELEXON</w:t>
            </w:r>
          </w:p>
        </w:tc>
        <w:tc>
          <w:tcPr>
            <w:tcW w:w="1443" w:type="dxa"/>
            <w:vAlign w:val="center"/>
          </w:tcPr>
          <w:p w:rsidR="008D4BDC" w:rsidRPr="00A00E9F" w:rsidRDefault="008D4BDC" w:rsidP="004A5173">
            <w:pPr>
              <w:spacing w:line="240" w:lineRule="auto"/>
              <w:ind w:left="113" w:right="113"/>
              <w:jc w:val="center"/>
              <w:rPr>
                <w:rFonts w:cs="Tahoma"/>
                <w:color w:val="008576"/>
                <w:sz w:val="28"/>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r>
      <w:tr w:rsidR="008D4BDC" w:rsidTr="004A5173">
        <w:trPr>
          <w:cantSplit/>
          <w:trHeight w:val="397"/>
        </w:trPr>
        <w:tc>
          <w:tcPr>
            <w:tcW w:w="1976" w:type="dxa"/>
          </w:tcPr>
          <w:p w:rsidR="008D4BDC" w:rsidRPr="00580AEE" w:rsidRDefault="008D4BDC" w:rsidP="004A5173">
            <w:pPr>
              <w:pStyle w:val="TableBodyText"/>
            </w:pPr>
            <w:r>
              <w:t>Kathryn Gay</w:t>
            </w:r>
          </w:p>
        </w:tc>
        <w:tc>
          <w:tcPr>
            <w:tcW w:w="3240" w:type="dxa"/>
          </w:tcPr>
          <w:p w:rsidR="008D4BDC" w:rsidRPr="00580AEE" w:rsidRDefault="008D4BDC" w:rsidP="004A5173">
            <w:pPr>
              <w:pStyle w:val="TableBodyText"/>
            </w:pPr>
            <w:r>
              <w:t>ELEXON</w:t>
            </w:r>
          </w:p>
        </w:tc>
        <w:tc>
          <w:tcPr>
            <w:tcW w:w="1443" w:type="dxa"/>
            <w:vAlign w:val="center"/>
          </w:tcPr>
          <w:p w:rsidR="008D4BDC" w:rsidRPr="00A00E9F" w:rsidRDefault="008D4BDC" w:rsidP="004A5173">
            <w:pPr>
              <w:spacing w:line="240" w:lineRule="auto"/>
              <w:ind w:left="113" w:right="113"/>
              <w:jc w:val="center"/>
              <w:rPr>
                <w:rFonts w:cs="Tahoma"/>
                <w:color w:val="008576"/>
              </w:rPr>
            </w:pPr>
            <w:r w:rsidRPr="00A00E9F">
              <w:rPr>
                <w:rFonts w:cs="Tahoma"/>
                <w:color w:val="008576"/>
                <w:sz w:val="28"/>
              </w:rPr>
              <w:sym w:font="Wingdings" w:char="F0FC"/>
            </w:r>
          </w:p>
        </w:tc>
        <w:tc>
          <w:tcPr>
            <w:tcW w:w="1437" w:type="dxa"/>
            <w:gridSpan w:val="2"/>
            <w:vAlign w:val="center"/>
          </w:tcPr>
          <w:p w:rsidR="008D4BDC" w:rsidRPr="00A00E9F" w:rsidRDefault="008D4BDC" w:rsidP="004A5173">
            <w:pPr>
              <w:spacing w:line="240" w:lineRule="auto"/>
              <w:ind w:left="113" w:right="113"/>
              <w:contextualSpacing/>
              <w:jc w:val="center"/>
              <w:rPr>
                <w:rFonts w:cs="Tahoma"/>
                <w:color w:val="008576"/>
                <w:szCs w:val="22"/>
              </w:rPr>
            </w:pPr>
            <w:r w:rsidRPr="00A00E9F">
              <w:rPr>
                <w:rFonts w:cs="Tahoma"/>
                <w:color w:val="008576"/>
                <w:sz w:val="28"/>
              </w:rPr>
              <w:sym w:font="Wingdings" w:char="F0FC"/>
            </w:r>
          </w:p>
        </w:tc>
      </w:tr>
    </w:tbl>
    <w:p w:rsidR="008D4BDC" w:rsidRDefault="008D4BDC" w:rsidP="008D4BDC">
      <w:pPr>
        <w:pStyle w:val="BodyText"/>
      </w:pPr>
    </w:p>
    <w:p w:rsidR="008D4BDC" w:rsidRPr="008D4BDC" w:rsidRDefault="008D4BDC" w:rsidP="008D4BDC">
      <w:pPr>
        <w:pStyle w:val="BodyText"/>
        <w:sectPr w:rsidR="008D4BDC" w:rsidRPr="008D4BDC" w:rsidSect="00526E7D">
          <w:headerReference w:type="first" r:id="rId38"/>
          <w:footerReference w:type="first" r:id="rId39"/>
          <w:pgSz w:w="11906" w:h="16838" w:code="9"/>
          <w:pgMar w:top="567" w:right="2722" w:bottom="567" w:left="1134" w:header="284" w:footer="284" w:gutter="0"/>
          <w:cols w:space="708"/>
          <w:titlePg/>
          <w:docGrid w:linePitch="360"/>
        </w:sectPr>
      </w:pPr>
    </w:p>
    <w:p w:rsidR="008A0BE7" w:rsidRDefault="008A0BE7" w:rsidP="008A0BE7">
      <w:pPr>
        <w:pStyle w:val="Heading8"/>
        <w:numPr>
          <w:ilvl w:val="0"/>
          <w:numId w:val="0"/>
        </w:numPr>
        <w:ind w:left="550" w:hanging="550"/>
      </w:pPr>
      <w:bookmarkStart w:id="19" w:name="_Toc321128497"/>
      <w:bookmarkStart w:id="20" w:name="_Toc341089153"/>
      <w:bookmarkStart w:id="21" w:name="_Toc341101096"/>
      <w:bookmarkStart w:id="22" w:name="_Toc341101393"/>
      <w:bookmarkStart w:id="23" w:name="_Toc361209207"/>
      <w:bookmarkStart w:id="24" w:name="_Toc388795066"/>
      <w:bookmarkStart w:id="25" w:name="_Toc467066307"/>
      <w:r>
        <w:lastRenderedPageBreak/>
        <w:t xml:space="preserve">Appendix 2: Estimated Progression </w:t>
      </w:r>
      <w:bookmarkEnd w:id="19"/>
      <w:bookmarkEnd w:id="20"/>
      <w:bookmarkEnd w:id="21"/>
      <w:bookmarkEnd w:id="22"/>
      <w:bookmarkEnd w:id="23"/>
      <w:r>
        <w:t>Effort</w:t>
      </w:r>
      <w:bookmarkEnd w:id="24"/>
      <w:bookmarkEnd w:id="25"/>
    </w:p>
    <w:p w:rsidR="008D4BDC" w:rsidRDefault="008D4BDC" w:rsidP="008D4BDC">
      <w:pPr>
        <w:pStyle w:val="BodyText"/>
      </w:pPr>
      <w:r w:rsidRPr="00B51874">
        <w:t>The following tables contain the estim</w:t>
      </w:r>
      <w:r>
        <w:t>at</w:t>
      </w:r>
      <w:r w:rsidRPr="00B51874">
        <w:t xml:space="preserve">ed effort </w:t>
      </w:r>
      <w:r>
        <w:t>in progressing P346:</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4010"/>
        <w:gridCol w:w="4011"/>
      </w:tblGrid>
      <w:tr w:rsidR="008D4BDC" w:rsidTr="004A5173">
        <w:trPr>
          <w:cantSplit/>
          <w:trHeight w:val="397"/>
          <w:tblHeader/>
        </w:trPr>
        <w:tc>
          <w:tcPr>
            <w:tcW w:w="8021" w:type="dxa"/>
            <w:gridSpan w:val="2"/>
            <w:tcBorders>
              <w:bottom w:val="single" w:sz="8" w:space="0" w:color="CCE0DA"/>
            </w:tcBorders>
            <w:shd w:val="clear" w:color="auto" w:fill="CCE0DA"/>
            <w:vAlign w:val="center"/>
          </w:tcPr>
          <w:p w:rsidR="008D4BDC" w:rsidRDefault="008D4BDC" w:rsidP="004A5173">
            <w:pPr>
              <w:pStyle w:val="TableTitle"/>
              <w:keepNext/>
            </w:pPr>
            <w:r>
              <w:t>Assessment Effort</w:t>
            </w:r>
          </w:p>
        </w:tc>
      </w:tr>
      <w:tr w:rsidR="008D4BDC" w:rsidTr="004A5173">
        <w:trPr>
          <w:cantSplit/>
          <w:trHeight w:val="397"/>
          <w:tblHeader/>
        </w:trPr>
        <w:tc>
          <w:tcPr>
            <w:tcW w:w="4010" w:type="dxa"/>
            <w:tcBorders>
              <w:top w:val="single" w:sz="8" w:space="0" w:color="CCE0DA"/>
            </w:tcBorders>
          </w:tcPr>
          <w:p w:rsidR="008D4BDC" w:rsidRDefault="008D4BDC" w:rsidP="004A5173">
            <w:pPr>
              <w:pStyle w:val="TableColumnHeading"/>
              <w:keepNext/>
            </w:pPr>
            <w:r>
              <w:t>Participant</w:t>
            </w:r>
          </w:p>
        </w:tc>
        <w:tc>
          <w:tcPr>
            <w:tcW w:w="4011" w:type="dxa"/>
            <w:tcBorders>
              <w:top w:val="single" w:sz="8" w:space="0" w:color="CCE0DA"/>
            </w:tcBorders>
          </w:tcPr>
          <w:p w:rsidR="008D4BDC" w:rsidRDefault="008D4BDC" w:rsidP="004A5173">
            <w:pPr>
              <w:pStyle w:val="TableColumnHeading"/>
              <w:keepNext/>
            </w:pPr>
            <w:r>
              <w:t>Effort (man days)</w:t>
            </w:r>
          </w:p>
        </w:tc>
      </w:tr>
      <w:tr w:rsidR="008D4BDC" w:rsidTr="004A5173">
        <w:trPr>
          <w:cantSplit/>
          <w:trHeight w:val="397"/>
        </w:trPr>
        <w:tc>
          <w:tcPr>
            <w:tcW w:w="4010" w:type="dxa"/>
          </w:tcPr>
          <w:p w:rsidR="008D4BDC" w:rsidRDefault="008D4BDC" w:rsidP="004A5173">
            <w:pPr>
              <w:pStyle w:val="TableBodyText"/>
            </w:pPr>
            <w:r>
              <w:t>ELEXON</w:t>
            </w:r>
          </w:p>
        </w:tc>
        <w:tc>
          <w:tcPr>
            <w:tcW w:w="4011" w:type="dxa"/>
          </w:tcPr>
          <w:p w:rsidR="008D4BDC" w:rsidRDefault="008D4BDC" w:rsidP="004A5173">
            <w:pPr>
              <w:pStyle w:val="TableBodyText"/>
              <w:jc w:val="right"/>
            </w:pPr>
            <w:r>
              <w:t>11</w:t>
            </w:r>
          </w:p>
        </w:tc>
      </w:tr>
      <w:tr w:rsidR="008D4BDC" w:rsidTr="004A5173">
        <w:trPr>
          <w:cantSplit/>
          <w:trHeight w:val="397"/>
        </w:trPr>
        <w:tc>
          <w:tcPr>
            <w:tcW w:w="4010" w:type="dxa"/>
            <w:tcBorders>
              <w:bottom w:val="single" w:sz="8" w:space="0" w:color="CCE0DA"/>
            </w:tcBorders>
          </w:tcPr>
          <w:p w:rsidR="008D4BDC" w:rsidRDefault="008D4BDC" w:rsidP="004A5173">
            <w:pPr>
              <w:pStyle w:val="TableBodyText"/>
            </w:pPr>
            <w:r>
              <w:t>Workgroup members</w:t>
            </w:r>
          </w:p>
        </w:tc>
        <w:tc>
          <w:tcPr>
            <w:tcW w:w="4011" w:type="dxa"/>
            <w:tcBorders>
              <w:bottom w:val="single" w:sz="8" w:space="0" w:color="CCE0DA"/>
            </w:tcBorders>
          </w:tcPr>
          <w:p w:rsidR="008D4BDC" w:rsidRDefault="008D4BDC" w:rsidP="004A5173">
            <w:pPr>
              <w:pStyle w:val="TableBodyText"/>
              <w:jc w:val="right"/>
            </w:pPr>
            <w:r>
              <w:t>22</w:t>
            </w:r>
          </w:p>
        </w:tc>
      </w:tr>
      <w:tr w:rsidR="008D4BDC" w:rsidTr="004A5173">
        <w:trPr>
          <w:cantSplit/>
          <w:trHeight w:val="397"/>
        </w:trPr>
        <w:tc>
          <w:tcPr>
            <w:tcW w:w="4010" w:type="dxa"/>
            <w:tcBorders>
              <w:bottom w:val="single" w:sz="12" w:space="0" w:color="CCE0DA"/>
            </w:tcBorders>
            <w:shd w:val="clear" w:color="auto" w:fill="E5EFEC"/>
          </w:tcPr>
          <w:p w:rsidR="008D4BDC" w:rsidRPr="00B51874" w:rsidRDefault="008D4BDC" w:rsidP="004A5173">
            <w:pPr>
              <w:pStyle w:val="TableBodyText"/>
              <w:rPr>
                <w:b/>
              </w:rPr>
            </w:pPr>
            <w:r w:rsidRPr="00B51874">
              <w:rPr>
                <w:b/>
              </w:rPr>
              <w:t>Total</w:t>
            </w:r>
          </w:p>
        </w:tc>
        <w:tc>
          <w:tcPr>
            <w:tcW w:w="4011" w:type="dxa"/>
            <w:tcBorders>
              <w:bottom w:val="single" w:sz="12" w:space="0" w:color="CCE0DA"/>
            </w:tcBorders>
            <w:shd w:val="clear" w:color="auto" w:fill="E5EFEC"/>
          </w:tcPr>
          <w:p w:rsidR="008D4BDC" w:rsidRPr="00B51874" w:rsidRDefault="008D4BDC" w:rsidP="004A5173">
            <w:pPr>
              <w:pStyle w:val="TableBodyText"/>
              <w:jc w:val="right"/>
              <w:rPr>
                <w:b/>
              </w:rPr>
            </w:pPr>
            <w:r>
              <w:rPr>
                <w:b/>
              </w:rPr>
              <w:t>33</w:t>
            </w:r>
          </w:p>
        </w:tc>
      </w:tr>
    </w:tbl>
    <w:p w:rsidR="008D4BDC" w:rsidRPr="00F7209F" w:rsidRDefault="008D4BDC" w:rsidP="008D4BDC">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4010"/>
        <w:gridCol w:w="4011"/>
      </w:tblGrid>
      <w:tr w:rsidR="008D4BDC" w:rsidTr="004A5173">
        <w:trPr>
          <w:cantSplit/>
          <w:trHeight w:val="397"/>
          <w:tblHeader/>
        </w:trPr>
        <w:tc>
          <w:tcPr>
            <w:tcW w:w="8021" w:type="dxa"/>
            <w:gridSpan w:val="2"/>
            <w:tcBorders>
              <w:bottom w:val="single" w:sz="8" w:space="0" w:color="CCE0DA"/>
            </w:tcBorders>
            <w:shd w:val="clear" w:color="auto" w:fill="CCE0DA"/>
            <w:vAlign w:val="center"/>
          </w:tcPr>
          <w:p w:rsidR="008D4BDC" w:rsidRDefault="008D4BDC" w:rsidP="004A5173">
            <w:pPr>
              <w:pStyle w:val="TableTitle"/>
              <w:keepNext/>
            </w:pPr>
            <w:r>
              <w:t>Consultation Response Effort</w:t>
            </w:r>
          </w:p>
        </w:tc>
      </w:tr>
      <w:tr w:rsidR="008D4BDC" w:rsidTr="004A5173">
        <w:trPr>
          <w:cantSplit/>
          <w:trHeight w:val="397"/>
          <w:tblHeader/>
        </w:trPr>
        <w:tc>
          <w:tcPr>
            <w:tcW w:w="4010" w:type="dxa"/>
            <w:tcBorders>
              <w:top w:val="single" w:sz="8" w:space="0" w:color="CCE0DA"/>
            </w:tcBorders>
          </w:tcPr>
          <w:p w:rsidR="008D4BDC" w:rsidRDefault="008D4BDC" w:rsidP="004A5173">
            <w:pPr>
              <w:pStyle w:val="TableColumnHeading"/>
              <w:keepNext/>
            </w:pPr>
            <w:r>
              <w:t>Consultation</w:t>
            </w:r>
          </w:p>
        </w:tc>
        <w:tc>
          <w:tcPr>
            <w:tcW w:w="4011" w:type="dxa"/>
            <w:tcBorders>
              <w:top w:val="single" w:sz="8" w:space="0" w:color="CCE0DA"/>
            </w:tcBorders>
          </w:tcPr>
          <w:p w:rsidR="008D4BDC" w:rsidRDefault="008D4BDC" w:rsidP="004A5173">
            <w:pPr>
              <w:pStyle w:val="TableColumnHeading"/>
              <w:keepNext/>
            </w:pPr>
            <w:r>
              <w:t>No. of responses</w:t>
            </w:r>
          </w:p>
        </w:tc>
      </w:tr>
      <w:tr w:rsidR="008D4BDC" w:rsidTr="004A5173">
        <w:trPr>
          <w:cantSplit/>
          <w:trHeight w:val="397"/>
        </w:trPr>
        <w:tc>
          <w:tcPr>
            <w:tcW w:w="4010" w:type="dxa"/>
          </w:tcPr>
          <w:p w:rsidR="008D4BDC" w:rsidRDefault="008D4BDC" w:rsidP="004A5173">
            <w:pPr>
              <w:pStyle w:val="TableBodyText"/>
            </w:pPr>
            <w:r>
              <w:t>Assessment Procedure Consultation</w:t>
            </w:r>
          </w:p>
        </w:tc>
        <w:tc>
          <w:tcPr>
            <w:tcW w:w="4011" w:type="dxa"/>
          </w:tcPr>
          <w:p w:rsidR="008D4BDC" w:rsidRDefault="008D4BDC" w:rsidP="004A5173">
            <w:pPr>
              <w:pStyle w:val="TableBodyText"/>
              <w:jc w:val="right"/>
            </w:pPr>
            <w:r>
              <w:t>5</w:t>
            </w:r>
          </w:p>
        </w:tc>
      </w:tr>
      <w:tr w:rsidR="008D4BDC" w:rsidTr="004A5173">
        <w:trPr>
          <w:cantSplit/>
          <w:trHeight w:val="397"/>
        </w:trPr>
        <w:tc>
          <w:tcPr>
            <w:tcW w:w="4010" w:type="dxa"/>
            <w:tcBorders>
              <w:bottom w:val="single" w:sz="8" w:space="0" w:color="CCE0DA"/>
            </w:tcBorders>
          </w:tcPr>
          <w:p w:rsidR="008D4BDC" w:rsidRDefault="008D4BDC" w:rsidP="004A5173">
            <w:pPr>
              <w:pStyle w:val="TableBodyText"/>
            </w:pPr>
            <w:r>
              <w:t>Report Phase Consultation</w:t>
            </w:r>
          </w:p>
        </w:tc>
        <w:tc>
          <w:tcPr>
            <w:tcW w:w="4011" w:type="dxa"/>
            <w:tcBorders>
              <w:bottom w:val="single" w:sz="8" w:space="0" w:color="CCE0DA"/>
            </w:tcBorders>
          </w:tcPr>
          <w:p w:rsidR="008D4BDC" w:rsidRDefault="008D4BDC" w:rsidP="004A5173">
            <w:pPr>
              <w:pStyle w:val="TableBodyText"/>
              <w:jc w:val="right"/>
            </w:pPr>
            <w:r>
              <w:t>9</w:t>
            </w:r>
          </w:p>
        </w:tc>
      </w:tr>
      <w:tr w:rsidR="008D4BDC" w:rsidTr="004A5173">
        <w:trPr>
          <w:cantSplit/>
          <w:trHeight w:val="397"/>
        </w:trPr>
        <w:tc>
          <w:tcPr>
            <w:tcW w:w="4010" w:type="dxa"/>
            <w:tcBorders>
              <w:bottom w:val="single" w:sz="12" w:space="0" w:color="CCE0DA"/>
            </w:tcBorders>
            <w:shd w:val="clear" w:color="auto" w:fill="E5EFEC"/>
          </w:tcPr>
          <w:p w:rsidR="008D4BDC" w:rsidRPr="00B51874" w:rsidRDefault="008D4BDC" w:rsidP="004A5173">
            <w:pPr>
              <w:pStyle w:val="TableBodyText"/>
              <w:rPr>
                <w:b/>
              </w:rPr>
            </w:pPr>
            <w:r w:rsidRPr="00B51874">
              <w:rPr>
                <w:b/>
              </w:rPr>
              <w:t>Total</w:t>
            </w:r>
          </w:p>
        </w:tc>
        <w:tc>
          <w:tcPr>
            <w:tcW w:w="4011" w:type="dxa"/>
            <w:tcBorders>
              <w:bottom w:val="single" w:sz="12" w:space="0" w:color="CCE0DA"/>
            </w:tcBorders>
            <w:shd w:val="clear" w:color="auto" w:fill="E5EFEC"/>
          </w:tcPr>
          <w:p w:rsidR="008D4BDC" w:rsidRPr="00B51874" w:rsidRDefault="008D4BDC" w:rsidP="004A5173">
            <w:pPr>
              <w:pStyle w:val="TableBodyText"/>
              <w:jc w:val="right"/>
              <w:rPr>
                <w:b/>
              </w:rPr>
            </w:pPr>
            <w:r>
              <w:rPr>
                <w:b/>
              </w:rPr>
              <w:t>14</w:t>
            </w:r>
          </w:p>
        </w:tc>
      </w:tr>
    </w:tbl>
    <w:p w:rsidR="008D4BDC" w:rsidRDefault="008D4BDC" w:rsidP="008D4BDC">
      <w:pPr>
        <w:pStyle w:val="BodyText"/>
        <w:rPr>
          <w:color w:val="FF0000"/>
        </w:rPr>
        <w:sectPr w:rsidR="008D4BDC" w:rsidSect="00526E7D">
          <w:headerReference w:type="first" r:id="rId40"/>
          <w:footerReference w:type="first" r:id="rId41"/>
          <w:pgSz w:w="11906" w:h="16838" w:code="9"/>
          <w:pgMar w:top="567" w:right="2722" w:bottom="567" w:left="1134" w:header="284" w:footer="284" w:gutter="0"/>
          <w:cols w:space="708"/>
          <w:titlePg/>
          <w:docGrid w:linePitch="360"/>
        </w:sectPr>
      </w:pPr>
    </w:p>
    <w:p w:rsidR="008A0BE7" w:rsidRDefault="008A0BE7" w:rsidP="008A0BE7">
      <w:pPr>
        <w:pStyle w:val="BodyText"/>
        <w:rPr>
          <w:color w:val="FF0000"/>
        </w:rPr>
      </w:pPr>
    </w:p>
    <w:p w:rsidR="008A0BE7" w:rsidRDefault="008A0BE7" w:rsidP="008A0BE7">
      <w:pPr>
        <w:pStyle w:val="Heading8"/>
        <w:numPr>
          <w:ilvl w:val="0"/>
          <w:numId w:val="0"/>
        </w:numPr>
        <w:ind w:left="567" w:hanging="567"/>
      </w:pPr>
      <w:bookmarkStart w:id="26" w:name="_Toc383768638"/>
      <w:bookmarkStart w:id="27" w:name="_Toc384105065"/>
      <w:bookmarkStart w:id="28" w:name="_Toc388795067"/>
      <w:bookmarkStart w:id="29" w:name="_Toc467066308"/>
      <w:r>
        <w:t>Appendix 3: Glossary &amp; References</w:t>
      </w:r>
      <w:bookmarkEnd w:id="26"/>
      <w:bookmarkEnd w:id="27"/>
      <w:bookmarkEnd w:id="28"/>
      <w:bookmarkEnd w:id="29"/>
    </w:p>
    <w:p w:rsidR="008D4BDC" w:rsidRDefault="008D4BDC" w:rsidP="008D4BDC">
      <w:pPr>
        <w:pStyle w:val="Heading4"/>
      </w:pPr>
      <w:r>
        <w:t>Acronyms</w:t>
      </w:r>
    </w:p>
    <w:p w:rsidR="008D4BDC" w:rsidRDefault="008D4BDC" w:rsidP="008D4BDC">
      <w:pPr>
        <w:pStyle w:val="BodyText"/>
      </w:pPr>
      <w:r>
        <w:t>Acronyms</w:t>
      </w:r>
      <w:r w:rsidRPr="005E55B3">
        <w:t xml:space="preserve"> used in this document</w:t>
      </w:r>
      <w:r>
        <w:t xml:space="preserve"> are listed in the table below. </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6840"/>
      </w:tblGrid>
      <w:tr w:rsidR="008D4BDC" w:rsidRPr="00F55C3C" w:rsidTr="004A5173">
        <w:trPr>
          <w:cantSplit/>
          <w:trHeight w:val="397"/>
          <w:tblHeader/>
        </w:trPr>
        <w:tc>
          <w:tcPr>
            <w:tcW w:w="8100" w:type="dxa"/>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8D4BDC" w:rsidRPr="00F55C3C" w:rsidRDefault="008D4BDC" w:rsidP="004A5173">
            <w:pPr>
              <w:pStyle w:val="TableTitle"/>
              <w:keepNext/>
            </w:pPr>
            <w:r>
              <w:t>Acronyms</w:t>
            </w:r>
          </w:p>
        </w:tc>
      </w:tr>
      <w:tr w:rsidR="008D4BDC" w:rsidRPr="00F55C3C" w:rsidTr="004A5173">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rsidR="008D4BDC" w:rsidRPr="00F55C3C" w:rsidRDefault="008D4BDC" w:rsidP="004A5173">
            <w:pPr>
              <w:pStyle w:val="TableColumnHeading"/>
              <w:keepNext/>
            </w:pPr>
            <w:r w:rsidRPr="00F55C3C">
              <w:t>Acronym</w:t>
            </w:r>
          </w:p>
        </w:tc>
        <w:tc>
          <w:tcPr>
            <w:tcW w:w="6840" w:type="dxa"/>
            <w:tcBorders>
              <w:top w:val="single" w:sz="8" w:space="0" w:color="CCE0DA"/>
              <w:left w:val="single" w:sz="8" w:space="0" w:color="CCE0DA"/>
              <w:bottom w:val="single" w:sz="8" w:space="0" w:color="CCE0DA"/>
              <w:right w:val="single" w:sz="12" w:space="0" w:color="CCE0DA"/>
            </w:tcBorders>
            <w:hideMark/>
          </w:tcPr>
          <w:p w:rsidR="008D4BDC" w:rsidRPr="00F55C3C" w:rsidRDefault="008D4BDC" w:rsidP="004A5173">
            <w:pPr>
              <w:pStyle w:val="TableColumnHeading"/>
              <w:keepNext/>
            </w:pPr>
            <w:r>
              <w:t>Definition</w:t>
            </w:r>
          </w:p>
        </w:tc>
      </w:tr>
      <w:tr w:rsidR="008D4BDC" w:rsidRPr="00F55C3C"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Default="008D4BDC" w:rsidP="004A5173">
            <w:pPr>
              <w:pStyle w:val="TableBodyText"/>
            </w:pPr>
            <w:r>
              <w:t>BSC</w:t>
            </w:r>
          </w:p>
        </w:tc>
        <w:tc>
          <w:tcPr>
            <w:tcW w:w="6840" w:type="dxa"/>
            <w:tcBorders>
              <w:top w:val="single" w:sz="8" w:space="0" w:color="CCE0DA"/>
              <w:left w:val="single" w:sz="8" w:space="0" w:color="CCE0DA"/>
              <w:bottom w:val="single" w:sz="8" w:space="0" w:color="CCE0DA"/>
              <w:right w:val="single" w:sz="12" w:space="0" w:color="CCE0DA"/>
            </w:tcBorders>
          </w:tcPr>
          <w:p w:rsidR="008D4BDC" w:rsidRPr="00452740" w:rsidRDefault="008D4BDC" w:rsidP="004A5173">
            <w:pPr>
              <w:pStyle w:val="TableBodyText"/>
            </w:pPr>
            <w:r>
              <w:t>Balancing and Settlement code</w:t>
            </w:r>
          </w:p>
        </w:tc>
      </w:tr>
      <w:tr w:rsidR="008D4BDC" w:rsidRPr="00F55C3C"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Default="008D4BDC" w:rsidP="004A5173">
            <w:pPr>
              <w:pStyle w:val="TableBodyText"/>
            </w:pPr>
            <w:proofErr w:type="spellStart"/>
            <w:r>
              <w:t>BSCCo</w:t>
            </w:r>
            <w:proofErr w:type="spellEnd"/>
          </w:p>
        </w:tc>
        <w:tc>
          <w:tcPr>
            <w:tcW w:w="6840" w:type="dxa"/>
            <w:tcBorders>
              <w:top w:val="single" w:sz="8" w:space="0" w:color="CCE0DA"/>
              <w:left w:val="single" w:sz="8" w:space="0" w:color="CCE0DA"/>
              <w:bottom w:val="single" w:sz="8" w:space="0" w:color="CCE0DA"/>
              <w:right w:val="single" w:sz="12" w:space="0" w:color="CCE0DA"/>
            </w:tcBorders>
          </w:tcPr>
          <w:p w:rsidR="008D4BDC" w:rsidRPr="00452740" w:rsidRDefault="008D4BDC" w:rsidP="004A5173">
            <w:pPr>
              <w:pStyle w:val="TableBodyText"/>
            </w:pPr>
            <w:r>
              <w:t xml:space="preserve">Balancing and Settlement Company (Code Administrator ELEXON)  </w:t>
            </w:r>
          </w:p>
        </w:tc>
      </w:tr>
      <w:tr w:rsidR="008D4BDC" w:rsidRPr="00F55C3C"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C619F3" w:rsidRDefault="008D4BDC" w:rsidP="004A5173">
            <w:pPr>
              <w:pStyle w:val="TableBodyText"/>
            </w:pPr>
            <w:proofErr w:type="spellStart"/>
            <w:r>
              <w:t>CoS</w:t>
            </w:r>
            <w:proofErr w:type="spellEnd"/>
          </w:p>
        </w:tc>
        <w:tc>
          <w:tcPr>
            <w:tcW w:w="6840" w:type="dxa"/>
            <w:tcBorders>
              <w:top w:val="single" w:sz="8" w:space="0" w:color="CCE0DA"/>
              <w:left w:val="single" w:sz="8" w:space="0" w:color="CCE0DA"/>
              <w:bottom w:val="single" w:sz="8" w:space="0" w:color="CCE0DA"/>
              <w:right w:val="single" w:sz="12" w:space="0" w:color="CCE0DA"/>
            </w:tcBorders>
          </w:tcPr>
          <w:p w:rsidR="008D4BDC" w:rsidRPr="00452740" w:rsidRDefault="008D4BDC" w:rsidP="004A5173">
            <w:pPr>
              <w:pStyle w:val="TableBodyText"/>
            </w:pPr>
            <w:r w:rsidRPr="00452740">
              <w:t>Change of Supplier</w:t>
            </w:r>
          </w:p>
        </w:tc>
      </w:tr>
      <w:tr w:rsidR="008D4BDC" w:rsidRPr="00F55C3C"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C619F3" w:rsidRDefault="008D4BDC" w:rsidP="004A5173">
            <w:pPr>
              <w:pStyle w:val="TableBodyText"/>
            </w:pPr>
            <w:r>
              <w:t>DCC</w:t>
            </w:r>
          </w:p>
        </w:tc>
        <w:tc>
          <w:tcPr>
            <w:tcW w:w="6840" w:type="dxa"/>
            <w:tcBorders>
              <w:top w:val="single" w:sz="8" w:space="0" w:color="CCE0DA"/>
              <w:left w:val="single" w:sz="8" w:space="0" w:color="CCE0DA"/>
              <w:bottom w:val="single" w:sz="8" w:space="0" w:color="CCE0DA"/>
              <w:right w:val="single" w:sz="12" w:space="0" w:color="CCE0DA"/>
            </w:tcBorders>
          </w:tcPr>
          <w:p w:rsidR="008D4BDC" w:rsidRPr="00452740" w:rsidRDefault="008D4BDC" w:rsidP="004A5173">
            <w:pPr>
              <w:pStyle w:val="TableBodyText"/>
            </w:pPr>
            <w:r w:rsidRPr="00452740">
              <w:t>Data Communications Company</w:t>
            </w:r>
          </w:p>
        </w:tc>
      </w:tr>
      <w:tr w:rsidR="008D4BDC" w:rsidRPr="00F55C3C"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Default="008D4BDC" w:rsidP="004A5173">
            <w:pPr>
              <w:pStyle w:val="TableBodyText"/>
            </w:pPr>
            <w:r>
              <w:t>FSS</w:t>
            </w:r>
          </w:p>
        </w:tc>
        <w:tc>
          <w:tcPr>
            <w:tcW w:w="6840" w:type="dxa"/>
            <w:tcBorders>
              <w:top w:val="single" w:sz="8" w:space="0" w:color="CCE0DA"/>
              <w:left w:val="single" w:sz="8" w:space="0" w:color="CCE0DA"/>
              <w:bottom w:val="single" w:sz="8" w:space="0" w:color="CCE0DA"/>
              <w:right w:val="single" w:sz="12" w:space="0" w:color="CCE0DA"/>
            </w:tcBorders>
          </w:tcPr>
          <w:p w:rsidR="008D4BDC" w:rsidRPr="00452740" w:rsidRDefault="008D4BDC" w:rsidP="004A5173">
            <w:pPr>
              <w:pStyle w:val="TableBodyText"/>
            </w:pPr>
            <w:r>
              <w:t>Funding Share System</w:t>
            </w:r>
          </w:p>
        </w:tc>
      </w:tr>
      <w:tr w:rsidR="008D4BDC" w:rsidRPr="00F55C3C" w:rsidTr="004A5173">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8D4BDC" w:rsidRDefault="008D4BDC" w:rsidP="004A5173">
            <w:pPr>
              <w:pStyle w:val="TableBodyText"/>
            </w:pPr>
            <w:r>
              <w:t>GSP</w:t>
            </w:r>
          </w:p>
        </w:tc>
        <w:tc>
          <w:tcPr>
            <w:tcW w:w="6840" w:type="dxa"/>
            <w:tcBorders>
              <w:top w:val="single" w:sz="8" w:space="0" w:color="CCE0DA"/>
              <w:left w:val="single" w:sz="8" w:space="0" w:color="CCE0DA"/>
              <w:bottom w:val="single" w:sz="12" w:space="0" w:color="CCE0DA"/>
              <w:right w:val="single" w:sz="12" w:space="0" w:color="CCE0DA"/>
            </w:tcBorders>
          </w:tcPr>
          <w:p w:rsidR="008D4BDC" w:rsidRPr="00452740" w:rsidRDefault="008D4BDC" w:rsidP="004A5173">
            <w:pPr>
              <w:pStyle w:val="TableBodyText"/>
            </w:pPr>
            <w:r>
              <w:t>Grid Supply Point</w:t>
            </w:r>
          </w:p>
        </w:tc>
      </w:tr>
      <w:tr w:rsidR="008D4BDC" w:rsidRPr="00F55C3C" w:rsidTr="004A5173">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8D4BDC" w:rsidRPr="00C619F3" w:rsidRDefault="008D4BDC" w:rsidP="004A5173">
            <w:pPr>
              <w:pStyle w:val="TableBodyText"/>
            </w:pPr>
            <w:r>
              <w:t>HH</w:t>
            </w:r>
          </w:p>
        </w:tc>
        <w:tc>
          <w:tcPr>
            <w:tcW w:w="6840" w:type="dxa"/>
            <w:tcBorders>
              <w:top w:val="single" w:sz="8" w:space="0" w:color="CCE0DA"/>
              <w:left w:val="single" w:sz="8" w:space="0" w:color="CCE0DA"/>
              <w:bottom w:val="single" w:sz="12" w:space="0" w:color="CCE0DA"/>
              <w:right w:val="single" w:sz="12" w:space="0" w:color="CCE0DA"/>
            </w:tcBorders>
          </w:tcPr>
          <w:p w:rsidR="008D4BDC" w:rsidRPr="00452740" w:rsidRDefault="008D4BDC" w:rsidP="004A5173">
            <w:pPr>
              <w:pStyle w:val="TableBodyText"/>
            </w:pPr>
            <w:r w:rsidRPr="00452740">
              <w:t xml:space="preserve">Half Hourly </w:t>
            </w:r>
          </w:p>
        </w:tc>
      </w:tr>
      <w:tr w:rsidR="008D4BDC" w:rsidRPr="00F55C3C" w:rsidTr="004A5173">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8D4BDC" w:rsidRPr="00C619F3" w:rsidRDefault="008D4BDC" w:rsidP="004A5173">
            <w:pPr>
              <w:pStyle w:val="TableBodyText"/>
            </w:pPr>
            <w:r>
              <w:t>MSID</w:t>
            </w:r>
          </w:p>
        </w:tc>
        <w:tc>
          <w:tcPr>
            <w:tcW w:w="6840" w:type="dxa"/>
            <w:tcBorders>
              <w:top w:val="single" w:sz="8" w:space="0" w:color="CCE0DA"/>
              <w:left w:val="single" w:sz="8" w:space="0" w:color="CCE0DA"/>
              <w:bottom w:val="single" w:sz="12" w:space="0" w:color="CCE0DA"/>
              <w:right w:val="single" w:sz="12" w:space="0" w:color="CCE0DA"/>
            </w:tcBorders>
          </w:tcPr>
          <w:p w:rsidR="008D4BDC" w:rsidRPr="00452740" w:rsidRDefault="008D4BDC" w:rsidP="004A5173">
            <w:pPr>
              <w:pStyle w:val="TableBodyText"/>
            </w:pPr>
            <w:r w:rsidRPr="00452740">
              <w:t>Metering System Identifier</w:t>
            </w:r>
          </w:p>
        </w:tc>
      </w:tr>
      <w:tr w:rsidR="008D4BDC" w:rsidRPr="00F55C3C" w:rsidTr="004A5173">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8D4BDC" w:rsidRPr="00C619F3" w:rsidRDefault="008D4BDC" w:rsidP="004A5173">
            <w:pPr>
              <w:pStyle w:val="TableBodyText"/>
            </w:pPr>
            <w:r>
              <w:t>NHH</w:t>
            </w:r>
          </w:p>
        </w:tc>
        <w:tc>
          <w:tcPr>
            <w:tcW w:w="6840" w:type="dxa"/>
            <w:tcBorders>
              <w:top w:val="single" w:sz="8" w:space="0" w:color="CCE0DA"/>
              <w:left w:val="single" w:sz="8" w:space="0" w:color="CCE0DA"/>
              <w:bottom w:val="single" w:sz="12" w:space="0" w:color="CCE0DA"/>
              <w:right w:val="single" w:sz="12" w:space="0" w:color="CCE0DA"/>
            </w:tcBorders>
          </w:tcPr>
          <w:p w:rsidR="008D4BDC" w:rsidRPr="00452740" w:rsidRDefault="008D4BDC" w:rsidP="004A5173">
            <w:pPr>
              <w:pStyle w:val="TableBodyText"/>
            </w:pPr>
            <w:r w:rsidRPr="00452740">
              <w:t xml:space="preserve">Non Half Hourly </w:t>
            </w:r>
          </w:p>
        </w:tc>
      </w:tr>
      <w:tr w:rsidR="008D4BDC" w:rsidRPr="00F55C3C" w:rsidTr="004A5173">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8D4BDC" w:rsidRPr="00C619F3" w:rsidRDefault="008D4BDC" w:rsidP="004A5173">
            <w:pPr>
              <w:pStyle w:val="TableBodyText"/>
            </w:pPr>
            <w:r>
              <w:t>SRAG</w:t>
            </w:r>
          </w:p>
        </w:tc>
        <w:tc>
          <w:tcPr>
            <w:tcW w:w="6840" w:type="dxa"/>
            <w:tcBorders>
              <w:top w:val="single" w:sz="8" w:space="0" w:color="CCE0DA"/>
              <w:left w:val="single" w:sz="8" w:space="0" w:color="CCE0DA"/>
              <w:bottom w:val="single" w:sz="12" w:space="0" w:color="CCE0DA"/>
              <w:right w:val="single" w:sz="12" w:space="0" w:color="CCE0DA"/>
            </w:tcBorders>
          </w:tcPr>
          <w:p w:rsidR="008D4BDC" w:rsidRPr="00452740" w:rsidRDefault="008D4BDC" w:rsidP="004A5173">
            <w:pPr>
              <w:pStyle w:val="TableBodyText"/>
            </w:pPr>
            <w:r w:rsidRPr="00073D6E">
              <w:t>Settlement Review Advisory Group</w:t>
            </w:r>
          </w:p>
        </w:tc>
      </w:tr>
      <w:tr w:rsidR="008D4BDC" w:rsidRPr="00F55C3C"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C619F3" w:rsidRDefault="008D4BDC" w:rsidP="004A5173">
            <w:pPr>
              <w:pStyle w:val="TableBodyText"/>
            </w:pPr>
            <w:r>
              <w:t>SVA</w:t>
            </w:r>
          </w:p>
        </w:tc>
        <w:tc>
          <w:tcPr>
            <w:tcW w:w="6840" w:type="dxa"/>
            <w:tcBorders>
              <w:top w:val="single" w:sz="8" w:space="0" w:color="CCE0DA"/>
              <w:left w:val="single" w:sz="8" w:space="0" w:color="CCE0DA"/>
              <w:bottom w:val="single" w:sz="8" w:space="0" w:color="CCE0DA"/>
              <w:right w:val="single" w:sz="12" w:space="0" w:color="CCE0DA"/>
            </w:tcBorders>
          </w:tcPr>
          <w:p w:rsidR="008D4BDC" w:rsidRPr="00452740" w:rsidRDefault="008D4BDC" w:rsidP="004A5173">
            <w:pPr>
              <w:pStyle w:val="TableBodyText"/>
            </w:pPr>
            <w:r w:rsidRPr="00452740">
              <w:t xml:space="preserve">Supplier Volume Allocation </w:t>
            </w:r>
          </w:p>
        </w:tc>
      </w:tr>
    </w:tbl>
    <w:p w:rsidR="008D4BDC" w:rsidRDefault="008D4BDC" w:rsidP="008D4BDC">
      <w:pPr>
        <w:pStyle w:val="BodyText"/>
      </w:pPr>
    </w:p>
    <w:p w:rsidR="008D4BDC" w:rsidRDefault="008D4BDC" w:rsidP="008D4BDC">
      <w:pPr>
        <w:pStyle w:val="Heading4"/>
      </w:pPr>
      <w:r>
        <w:t>External links</w:t>
      </w:r>
    </w:p>
    <w:p w:rsidR="008D4BDC" w:rsidRDefault="008D4BDC" w:rsidP="008D4BDC">
      <w:pPr>
        <w:pStyle w:val="BodyText"/>
      </w:pPr>
      <w:r>
        <w:t>A summary of all hyperlinks used in this document are listed in the table below.</w:t>
      </w:r>
    </w:p>
    <w:p w:rsidR="008D4BDC" w:rsidRPr="00C10F3D" w:rsidRDefault="008D4BDC" w:rsidP="008D4BDC">
      <w:pPr>
        <w:pStyle w:val="BodyText"/>
        <w:rPr>
          <w:color w:val="FF0000"/>
        </w:rPr>
      </w:pPr>
      <w:r w:rsidRPr="001E4810">
        <w:t xml:space="preserve">All </w:t>
      </w:r>
      <w:r>
        <w:t xml:space="preserve">external documents and </w:t>
      </w:r>
      <w:r w:rsidRPr="001E4810">
        <w:t>URL links listed are correct a</w:t>
      </w:r>
      <w:r>
        <w:t xml:space="preserve">s of the date of this document. </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3060"/>
        <w:gridCol w:w="3780"/>
      </w:tblGrid>
      <w:tr w:rsidR="008D4BDC" w:rsidRPr="008530C2" w:rsidTr="004A5173">
        <w:trPr>
          <w:cantSplit/>
          <w:trHeight w:val="397"/>
          <w:tblHeader/>
        </w:trPr>
        <w:tc>
          <w:tcPr>
            <w:tcW w:w="8100" w:type="dxa"/>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8D4BDC" w:rsidRPr="008530C2" w:rsidRDefault="008D4BDC" w:rsidP="004A5173">
            <w:pPr>
              <w:keepNext/>
              <w:spacing w:line="240" w:lineRule="auto"/>
              <w:ind w:left="57" w:right="57"/>
              <w:rPr>
                <w:color w:val="008576"/>
              </w:rPr>
            </w:pPr>
            <w:r w:rsidRPr="008530C2">
              <w:rPr>
                <w:color w:val="008576"/>
              </w:rPr>
              <w:t>External Links</w:t>
            </w:r>
          </w:p>
        </w:tc>
      </w:tr>
      <w:tr w:rsidR="008D4BDC" w:rsidRPr="008530C2" w:rsidTr="004A5173">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rsidR="008D4BDC" w:rsidRPr="008530C2" w:rsidRDefault="008D4BDC" w:rsidP="004A5173">
            <w:pPr>
              <w:keepNext/>
              <w:spacing w:before="60" w:after="60" w:line="240" w:lineRule="auto"/>
              <w:ind w:left="57" w:right="57"/>
            </w:pPr>
            <w:r w:rsidRPr="008530C2">
              <w:t>Page(s)</w:t>
            </w:r>
          </w:p>
        </w:tc>
        <w:tc>
          <w:tcPr>
            <w:tcW w:w="3060" w:type="dxa"/>
            <w:tcBorders>
              <w:top w:val="single" w:sz="8" w:space="0" w:color="CCE0DA"/>
              <w:left w:val="single" w:sz="8" w:space="0" w:color="CCE0DA"/>
              <w:bottom w:val="single" w:sz="8" w:space="0" w:color="CCE0DA"/>
              <w:right w:val="single" w:sz="4" w:space="0" w:color="CCE0DA"/>
            </w:tcBorders>
            <w:hideMark/>
          </w:tcPr>
          <w:p w:rsidR="008D4BDC" w:rsidRPr="008530C2" w:rsidRDefault="008D4BDC" w:rsidP="004A5173">
            <w:pPr>
              <w:keepNext/>
              <w:spacing w:before="60" w:after="60" w:line="240" w:lineRule="auto"/>
              <w:ind w:left="57" w:right="57"/>
            </w:pPr>
            <w:r w:rsidRPr="008530C2">
              <w:t>Description</w:t>
            </w:r>
          </w:p>
        </w:tc>
        <w:tc>
          <w:tcPr>
            <w:tcW w:w="3780" w:type="dxa"/>
            <w:tcBorders>
              <w:top w:val="single" w:sz="8" w:space="0" w:color="CCE0DA"/>
              <w:left w:val="single" w:sz="4" w:space="0" w:color="CCE0DA"/>
              <w:bottom w:val="single" w:sz="8" w:space="0" w:color="CCE0DA"/>
              <w:right w:val="single" w:sz="12" w:space="0" w:color="CCE0DA"/>
            </w:tcBorders>
          </w:tcPr>
          <w:p w:rsidR="008D4BDC" w:rsidRPr="008530C2" w:rsidRDefault="008D4BDC" w:rsidP="004A5173">
            <w:pPr>
              <w:keepNext/>
              <w:spacing w:before="60" w:after="60" w:line="240" w:lineRule="auto"/>
              <w:ind w:left="57" w:right="57"/>
            </w:pPr>
            <w:r w:rsidRPr="008530C2">
              <w:t>URL</w:t>
            </w:r>
          </w:p>
        </w:tc>
      </w:tr>
      <w:tr w:rsidR="008D4BDC" w:rsidRPr="008530C2"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8530C2" w:rsidRDefault="008D4BDC" w:rsidP="004A5173">
            <w:pPr>
              <w:spacing w:after="60"/>
              <w:ind w:left="57" w:right="57"/>
              <w:jc w:val="right"/>
              <w:rPr>
                <w:color w:val="008576"/>
              </w:rPr>
            </w:pPr>
            <w:r>
              <w:rPr>
                <w:color w:val="008576"/>
              </w:rPr>
              <w:t>2</w:t>
            </w:r>
          </w:p>
        </w:tc>
        <w:tc>
          <w:tcPr>
            <w:tcW w:w="3060" w:type="dxa"/>
            <w:tcBorders>
              <w:left w:val="single" w:sz="8" w:space="0" w:color="CCE0DA"/>
              <w:bottom w:val="single" w:sz="8" w:space="0" w:color="CCE0DA"/>
              <w:right w:val="single" w:sz="4" w:space="0" w:color="CCE0DA"/>
            </w:tcBorders>
          </w:tcPr>
          <w:p w:rsidR="008D4BDC" w:rsidRPr="008530C2" w:rsidRDefault="008D4BDC" w:rsidP="004A5173">
            <w:pPr>
              <w:spacing w:after="60"/>
              <w:ind w:left="57" w:right="57"/>
              <w:rPr>
                <w:color w:val="008576"/>
              </w:rPr>
            </w:pPr>
            <w:r>
              <w:rPr>
                <w:color w:val="008576"/>
              </w:rPr>
              <w:t>Section D of the BSC</w:t>
            </w:r>
          </w:p>
        </w:tc>
        <w:tc>
          <w:tcPr>
            <w:tcW w:w="3780" w:type="dxa"/>
            <w:tcBorders>
              <w:left w:val="single" w:sz="4" w:space="0" w:color="CCE0DA"/>
              <w:bottom w:val="single" w:sz="8" w:space="0" w:color="CCE0DA"/>
              <w:right w:val="single" w:sz="12" w:space="0" w:color="CCE0DA"/>
            </w:tcBorders>
          </w:tcPr>
          <w:p w:rsidR="008D4BDC" w:rsidRDefault="00FF3867" w:rsidP="004A5173">
            <w:pPr>
              <w:spacing w:after="60"/>
              <w:ind w:left="57" w:right="57"/>
            </w:pPr>
            <w:hyperlink r:id="rId42" w:history="1">
              <w:r w:rsidR="008D4BDC" w:rsidRPr="00126676">
                <w:rPr>
                  <w:rStyle w:val="Hyperlink"/>
                </w:rPr>
                <w:t>https://www.elexon.co.uk/wp-content/uploads/2014/07/Section_D_v18.0.pdf</w:t>
              </w:r>
            </w:hyperlink>
          </w:p>
        </w:tc>
      </w:tr>
      <w:tr w:rsidR="008D4BDC" w:rsidRPr="008530C2"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8530C2" w:rsidRDefault="008D4BDC" w:rsidP="004A5173">
            <w:pPr>
              <w:spacing w:after="60"/>
              <w:ind w:left="57" w:right="57"/>
              <w:jc w:val="right"/>
              <w:rPr>
                <w:color w:val="008576"/>
              </w:rPr>
            </w:pPr>
            <w:r>
              <w:rPr>
                <w:color w:val="008576"/>
              </w:rPr>
              <w:t>2</w:t>
            </w:r>
          </w:p>
        </w:tc>
        <w:tc>
          <w:tcPr>
            <w:tcW w:w="3060" w:type="dxa"/>
            <w:tcBorders>
              <w:left w:val="single" w:sz="8" w:space="0" w:color="CCE0DA"/>
              <w:bottom w:val="single" w:sz="8" w:space="0" w:color="CCE0DA"/>
              <w:right w:val="single" w:sz="4" w:space="0" w:color="CCE0DA"/>
            </w:tcBorders>
          </w:tcPr>
          <w:p w:rsidR="008D4BDC" w:rsidRPr="008530C2" w:rsidRDefault="008D4BDC" w:rsidP="004A5173">
            <w:pPr>
              <w:spacing w:after="60"/>
              <w:ind w:left="57" w:right="57"/>
              <w:rPr>
                <w:color w:val="008576"/>
              </w:rPr>
            </w:pPr>
            <w:r>
              <w:rPr>
                <w:color w:val="008576"/>
              </w:rPr>
              <w:t>Annex X-1 of the BSC</w:t>
            </w:r>
          </w:p>
        </w:tc>
        <w:tc>
          <w:tcPr>
            <w:tcW w:w="3780" w:type="dxa"/>
            <w:tcBorders>
              <w:left w:val="single" w:sz="4" w:space="0" w:color="CCE0DA"/>
              <w:bottom w:val="single" w:sz="8" w:space="0" w:color="CCE0DA"/>
              <w:right w:val="single" w:sz="12" w:space="0" w:color="CCE0DA"/>
            </w:tcBorders>
          </w:tcPr>
          <w:p w:rsidR="008D4BDC" w:rsidRDefault="00FF3867" w:rsidP="004A5173">
            <w:pPr>
              <w:spacing w:after="60"/>
              <w:ind w:left="57" w:right="57"/>
            </w:pPr>
            <w:hyperlink r:id="rId43" w:history="1">
              <w:r w:rsidR="008D4BDC" w:rsidRPr="00126676">
                <w:rPr>
                  <w:rStyle w:val="Hyperlink"/>
                </w:rPr>
                <w:t>https://www.elexon.co.uk/wp-content/uploads/2016/07/Section_X_1_v74.0.pdf</w:t>
              </w:r>
            </w:hyperlink>
          </w:p>
        </w:tc>
      </w:tr>
      <w:tr w:rsidR="008D4BDC" w:rsidRPr="008530C2"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8530C2" w:rsidRDefault="008D4BDC" w:rsidP="004A5173">
            <w:pPr>
              <w:spacing w:after="60"/>
              <w:ind w:left="57" w:right="57"/>
              <w:jc w:val="right"/>
              <w:rPr>
                <w:color w:val="008576"/>
              </w:rPr>
            </w:pPr>
            <w:r>
              <w:rPr>
                <w:color w:val="008576"/>
              </w:rPr>
              <w:t>2</w:t>
            </w:r>
          </w:p>
        </w:tc>
        <w:tc>
          <w:tcPr>
            <w:tcW w:w="3060" w:type="dxa"/>
            <w:tcBorders>
              <w:left w:val="single" w:sz="8" w:space="0" w:color="CCE0DA"/>
              <w:bottom w:val="single" w:sz="8" w:space="0" w:color="CCE0DA"/>
              <w:right w:val="single" w:sz="4" w:space="0" w:color="CCE0DA"/>
            </w:tcBorders>
          </w:tcPr>
          <w:p w:rsidR="008D4BDC" w:rsidRPr="008530C2" w:rsidRDefault="008D4BDC" w:rsidP="004A5173">
            <w:pPr>
              <w:spacing w:after="60"/>
              <w:ind w:left="57" w:right="57"/>
              <w:rPr>
                <w:color w:val="008576"/>
              </w:rPr>
            </w:pPr>
            <w:r>
              <w:rPr>
                <w:color w:val="008576"/>
              </w:rPr>
              <w:t>Annex X-2 of the BSC</w:t>
            </w:r>
          </w:p>
        </w:tc>
        <w:tc>
          <w:tcPr>
            <w:tcW w:w="3780" w:type="dxa"/>
            <w:tcBorders>
              <w:left w:val="single" w:sz="4" w:space="0" w:color="CCE0DA"/>
              <w:bottom w:val="single" w:sz="8" w:space="0" w:color="CCE0DA"/>
              <w:right w:val="single" w:sz="12" w:space="0" w:color="CCE0DA"/>
            </w:tcBorders>
          </w:tcPr>
          <w:p w:rsidR="008D4BDC" w:rsidRDefault="00FF3867" w:rsidP="004A5173">
            <w:pPr>
              <w:spacing w:after="60"/>
              <w:ind w:left="57" w:right="57"/>
            </w:pPr>
            <w:hyperlink r:id="rId44" w:history="1">
              <w:r w:rsidR="008D4BDC" w:rsidRPr="00126676">
                <w:rPr>
                  <w:rStyle w:val="Hyperlink"/>
                </w:rPr>
                <w:t>https://www.elexon.co.uk/wp-content/uploads/2016/06/Section_X-2_v37.0.pdf</w:t>
              </w:r>
            </w:hyperlink>
          </w:p>
        </w:tc>
      </w:tr>
      <w:tr w:rsidR="008D4BDC" w:rsidRPr="008530C2"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8530C2" w:rsidRDefault="008D4BDC" w:rsidP="004A5173">
            <w:pPr>
              <w:spacing w:after="60"/>
              <w:ind w:left="57" w:right="57"/>
              <w:jc w:val="right"/>
              <w:rPr>
                <w:color w:val="008576"/>
              </w:rPr>
            </w:pPr>
            <w:r w:rsidRPr="008530C2">
              <w:rPr>
                <w:color w:val="008576"/>
              </w:rPr>
              <w:t>4</w:t>
            </w:r>
          </w:p>
        </w:tc>
        <w:tc>
          <w:tcPr>
            <w:tcW w:w="3060" w:type="dxa"/>
            <w:tcBorders>
              <w:left w:val="single" w:sz="8" w:space="0" w:color="CCE0DA"/>
              <w:bottom w:val="single" w:sz="8" w:space="0" w:color="CCE0DA"/>
              <w:right w:val="single" w:sz="4" w:space="0" w:color="CCE0DA"/>
            </w:tcBorders>
          </w:tcPr>
          <w:p w:rsidR="008D4BDC" w:rsidRPr="008530C2" w:rsidRDefault="008D4BDC" w:rsidP="004A5173">
            <w:pPr>
              <w:spacing w:after="60"/>
              <w:ind w:left="57" w:right="57"/>
              <w:rPr>
                <w:color w:val="008576"/>
              </w:rPr>
            </w:pPr>
            <w:proofErr w:type="spellStart"/>
            <w:r w:rsidRPr="008530C2">
              <w:rPr>
                <w:color w:val="008576"/>
              </w:rPr>
              <w:t>Ofgem</w:t>
            </w:r>
            <w:proofErr w:type="spellEnd"/>
            <w:r w:rsidRPr="008530C2">
              <w:rPr>
                <w:color w:val="008576"/>
              </w:rPr>
              <w:t xml:space="preserve"> letter on HH Settlement on the </w:t>
            </w:r>
            <w:proofErr w:type="spellStart"/>
            <w:r w:rsidRPr="008530C2">
              <w:rPr>
                <w:color w:val="008576"/>
              </w:rPr>
              <w:t>Ofgem</w:t>
            </w:r>
            <w:proofErr w:type="spellEnd"/>
            <w:r w:rsidRPr="008530C2">
              <w:rPr>
                <w:color w:val="008576"/>
              </w:rPr>
              <w:t xml:space="preserve"> website </w:t>
            </w:r>
          </w:p>
        </w:tc>
        <w:tc>
          <w:tcPr>
            <w:tcW w:w="3780" w:type="dxa"/>
            <w:tcBorders>
              <w:left w:val="single" w:sz="4" w:space="0" w:color="CCE0DA"/>
              <w:bottom w:val="single" w:sz="8" w:space="0" w:color="CCE0DA"/>
              <w:right w:val="single" w:sz="12" w:space="0" w:color="CCE0DA"/>
            </w:tcBorders>
          </w:tcPr>
          <w:p w:rsidR="008D4BDC" w:rsidRPr="00031E93" w:rsidRDefault="00FF3867" w:rsidP="004A5173">
            <w:pPr>
              <w:spacing w:after="60"/>
              <w:ind w:left="57" w:right="57"/>
              <w:rPr>
                <w:rStyle w:val="Hyperlink"/>
              </w:rPr>
            </w:pPr>
            <w:hyperlink r:id="rId45" w:history="1">
              <w:r w:rsidR="008D4BDC" w:rsidRPr="00031E93">
                <w:rPr>
                  <w:rStyle w:val="Hyperlink"/>
                </w:rPr>
                <w:t>https://www.ofgem.gov.uk/sites/default/files/docs/final_open_letter_on_hhs.pdf</w:t>
              </w:r>
            </w:hyperlink>
          </w:p>
        </w:tc>
      </w:tr>
      <w:tr w:rsidR="008D4BDC" w:rsidRPr="008530C2"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8530C2" w:rsidRDefault="008D4BDC" w:rsidP="004A5173">
            <w:pPr>
              <w:spacing w:after="60"/>
              <w:ind w:left="57" w:right="57"/>
              <w:jc w:val="right"/>
              <w:rPr>
                <w:color w:val="008576"/>
              </w:rPr>
            </w:pPr>
            <w:r w:rsidRPr="008530C2">
              <w:rPr>
                <w:color w:val="008576"/>
              </w:rPr>
              <w:t>4</w:t>
            </w:r>
          </w:p>
        </w:tc>
        <w:tc>
          <w:tcPr>
            <w:tcW w:w="3060" w:type="dxa"/>
            <w:tcBorders>
              <w:left w:val="single" w:sz="8" w:space="0" w:color="CCE0DA"/>
              <w:bottom w:val="single" w:sz="8" w:space="0" w:color="CCE0DA"/>
              <w:right w:val="single" w:sz="4" w:space="0" w:color="CCE0DA"/>
            </w:tcBorders>
          </w:tcPr>
          <w:p w:rsidR="008D4BDC" w:rsidRPr="008530C2" w:rsidRDefault="008D4BDC" w:rsidP="004A5173">
            <w:pPr>
              <w:spacing w:after="60"/>
              <w:ind w:left="57" w:right="57"/>
              <w:rPr>
                <w:color w:val="008576"/>
              </w:rPr>
            </w:pPr>
            <w:proofErr w:type="spellStart"/>
            <w:r w:rsidRPr="008530C2">
              <w:rPr>
                <w:color w:val="008576"/>
              </w:rPr>
              <w:t>Ofgem</w:t>
            </w:r>
            <w:proofErr w:type="spellEnd"/>
            <w:r w:rsidRPr="008530C2">
              <w:rPr>
                <w:color w:val="008576"/>
              </w:rPr>
              <w:t xml:space="preserve"> conclusions paper on HH Settlement on the </w:t>
            </w:r>
            <w:proofErr w:type="spellStart"/>
            <w:r w:rsidRPr="008530C2">
              <w:rPr>
                <w:color w:val="008576"/>
              </w:rPr>
              <w:t>Ofgem</w:t>
            </w:r>
            <w:proofErr w:type="spellEnd"/>
            <w:r w:rsidRPr="008530C2">
              <w:rPr>
                <w:color w:val="008576"/>
              </w:rPr>
              <w:t xml:space="preserve"> website</w:t>
            </w:r>
          </w:p>
        </w:tc>
        <w:tc>
          <w:tcPr>
            <w:tcW w:w="3780" w:type="dxa"/>
            <w:tcBorders>
              <w:left w:val="single" w:sz="4" w:space="0" w:color="CCE0DA"/>
              <w:bottom w:val="single" w:sz="8" w:space="0" w:color="CCE0DA"/>
              <w:right w:val="single" w:sz="12" w:space="0" w:color="CCE0DA"/>
            </w:tcBorders>
          </w:tcPr>
          <w:p w:rsidR="008D4BDC" w:rsidRPr="00031E93" w:rsidRDefault="00FF3867" w:rsidP="004A5173">
            <w:pPr>
              <w:spacing w:after="60"/>
              <w:ind w:left="57" w:right="57"/>
              <w:rPr>
                <w:rStyle w:val="Hyperlink"/>
              </w:rPr>
            </w:pPr>
            <w:hyperlink r:id="rId46" w:history="1">
              <w:r w:rsidR="008D4BDC" w:rsidRPr="00031E93">
                <w:rPr>
                  <w:rStyle w:val="Hyperlink"/>
                </w:rPr>
                <w:t>https://www.ofgem.gov.uk/system/files/docs/2016/05/elective_hhs_conclusions_paper.pdf</w:t>
              </w:r>
            </w:hyperlink>
          </w:p>
        </w:tc>
      </w:tr>
      <w:tr w:rsidR="008D4BDC" w:rsidRPr="008530C2"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8530C2" w:rsidRDefault="008D4BDC" w:rsidP="004A5173">
            <w:pPr>
              <w:spacing w:after="60"/>
              <w:ind w:left="57" w:right="57"/>
              <w:jc w:val="right"/>
              <w:rPr>
                <w:color w:val="008576"/>
              </w:rPr>
            </w:pPr>
            <w:r w:rsidRPr="008530C2">
              <w:rPr>
                <w:color w:val="008576"/>
              </w:rPr>
              <w:lastRenderedPageBreak/>
              <w:t>4</w:t>
            </w:r>
          </w:p>
        </w:tc>
        <w:tc>
          <w:tcPr>
            <w:tcW w:w="3060" w:type="dxa"/>
            <w:tcBorders>
              <w:left w:val="single" w:sz="8" w:space="0" w:color="CCE0DA"/>
              <w:bottom w:val="single" w:sz="8" w:space="0" w:color="CCE0DA"/>
              <w:right w:val="single" w:sz="4" w:space="0" w:color="CCE0DA"/>
            </w:tcBorders>
          </w:tcPr>
          <w:p w:rsidR="008D4BDC" w:rsidRPr="008530C2" w:rsidRDefault="008D4BDC" w:rsidP="004A5173">
            <w:pPr>
              <w:spacing w:after="60"/>
              <w:ind w:left="57" w:right="57"/>
              <w:rPr>
                <w:color w:val="008576"/>
              </w:rPr>
            </w:pPr>
            <w:r w:rsidRPr="008530C2">
              <w:rPr>
                <w:color w:val="008576"/>
              </w:rPr>
              <w:t>BSC Sections page on the ELEXON website</w:t>
            </w:r>
          </w:p>
        </w:tc>
        <w:tc>
          <w:tcPr>
            <w:tcW w:w="3780" w:type="dxa"/>
            <w:tcBorders>
              <w:left w:val="single" w:sz="4" w:space="0" w:color="CCE0DA"/>
              <w:bottom w:val="single" w:sz="8" w:space="0" w:color="CCE0DA"/>
              <w:right w:val="single" w:sz="12" w:space="0" w:color="CCE0DA"/>
            </w:tcBorders>
          </w:tcPr>
          <w:p w:rsidR="008D4BDC" w:rsidRPr="00031E93" w:rsidRDefault="00FF3867" w:rsidP="004A5173">
            <w:pPr>
              <w:spacing w:after="60"/>
              <w:ind w:left="57" w:right="57"/>
              <w:rPr>
                <w:rStyle w:val="Hyperlink"/>
              </w:rPr>
            </w:pPr>
            <w:hyperlink r:id="rId47" w:history="1">
              <w:r w:rsidR="008D4BDC" w:rsidRPr="00031E93">
                <w:rPr>
                  <w:rStyle w:val="Hyperlink"/>
                </w:rPr>
                <w:t>https://www.elexon.co.uk/bsc-related-documents/balancing-settlement-code/bsc-sections/</w:t>
              </w:r>
            </w:hyperlink>
            <w:r w:rsidR="008D4BDC" w:rsidRPr="00031E93">
              <w:rPr>
                <w:rStyle w:val="Hyperlink"/>
              </w:rPr>
              <w:t xml:space="preserve"> </w:t>
            </w:r>
          </w:p>
        </w:tc>
      </w:tr>
      <w:tr w:rsidR="008D4BDC" w:rsidRPr="008530C2" w:rsidTr="004A5173">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rsidR="008D4BDC" w:rsidRPr="008530C2" w:rsidRDefault="008D4BDC" w:rsidP="004A5173">
            <w:pPr>
              <w:spacing w:after="60"/>
              <w:ind w:left="57" w:right="57"/>
              <w:jc w:val="right"/>
              <w:rPr>
                <w:color w:val="008576"/>
              </w:rPr>
            </w:pPr>
            <w:r>
              <w:rPr>
                <w:color w:val="008576"/>
              </w:rPr>
              <w:t>6</w:t>
            </w:r>
          </w:p>
        </w:tc>
        <w:tc>
          <w:tcPr>
            <w:tcW w:w="3060" w:type="dxa"/>
            <w:tcBorders>
              <w:left w:val="single" w:sz="8" w:space="0" w:color="CCE0DA"/>
              <w:right w:val="single" w:sz="4" w:space="0" w:color="CCE0DA"/>
            </w:tcBorders>
          </w:tcPr>
          <w:p w:rsidR="008D4BDC" w:rsidRPr="008530C2" w:rsidRDefault="008D4BDC" w:rsidP="004A5173">
            <w:pPr>
              <w:spacing w:after="60"/>
              <w:ind w:left="57" w:right="57"/>
              <w:rPr>
                <w:color w:val="008576"/>
              </w:rPr>
            </w:pPr>
            <w:r w:rsidRPr="008530C2">
              <w:rPr>
                <w:color w:val="008576"/>
              </w:rPr>
              <w:t>P346 page on the ELEXON website</w:t>
            </w:r>
          </w:p>
        </w:tc>
        <w:tc>
          <w:tcPr>
            <w:tcW w:w="3780" w:type="dxa"/>
            <w:tcBorders>
              <w:left w:val="single" w:sz="4" w:space="0" w:color="CCE0DA"/>
              <w:right w:val="single" w:sz="12" w:space="0" w:color="CCE0DA"/>
            </w:tcBorders>
          </w:tcPr>
          <w:p w:rsidR="008D4BDC" w:rsidRPr="00031E93" w:rsidRDefault="00FF3867" w:rsidP="004A5173">
            <w:pPr>
              <w:spacing w:after="60"/>
              <w:ind w:left="57" w:right="57"/>
              <w:rPr>
                <w:rStyle w:val="Hyperlink"/>
              </w:rPr>
            </w:pPr>
            <w:hyperlink r:id="rId48" w:history="1">
              <w:r w:rsidR="008D4BDC" w:rsidRPr="00031E93">
                <w:rPr>
                  <w:rStyle w:val="Hyperlink"/>
                </w:rPr>
                <w:t>https://www.elexon.co.uk/mod-proposal/p346/</w:t>
              </w:r>
            </w:hyperlink>
          </w:p>
        </w:tc>
      </w:tr>
      <w:tr w:rsidR="008D4BDC" w:rsidRPr="008530C2" w:rsidTr="004A5173">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rsidR="008D4BDC" w:rsidRPr="008530C2" w:rsidRDefault="008D4BDC" w:rsidP="004A5173">
            <w:pPr>
              <w:spacing w:after="60"/>
              <w:ind w:left="57" w:right="57"/>
              <w:jc w:val="right"/>
              <w:rPr>
                <w:color w:val="008576"/>
              </w:rPr>
            </w:pPr>
            <w:r>
              <w:rPr>
                <w:color w:val="008576"/>
              </w:rPr>
              <w:t>12</w:t>
            </w:r>
          </w:p>
        </w:tc>
        <w:tc>
          <w:tcPr>
            <w:tcW w:w="3060" w:type="dxa"/>
            <w:tcBorders>
              <w:left w:val="single" w:sz="8" w:space="0" w:color="CCE0DA"/>
              <w:bottom w:val="single" w:sz="12" w:space="0" w:color="CCE0DA"/>
              <w:right w:val="single" w:sz="4" w:space="0" w:color="CCE0DA"/>
            </w:tcBorders>
          </w:tcPr>
          <w:p w:rsidR="008D4BDC" w:rsidRPr="008530C2" w:rsidRDefault="008D4BDC" w:rsidP="004A5173">
            <w:pPr>
              <w:spacing w:after="60"/>
              <w:ind w:left="57" w:right="57"/>
              <w:rPr>
                <w:color w:val="008576"/>
              </w:rPr>
            </w:pPr>
            <w:r w:rsidRPr="008530C2">
              <w:rPr>
                <w:color w:val="008576"/>
              </w:rPr>
              <w:t>P272 page on the ELEXON website</w:t>
            </w:r>
          </w:p>
        </w:tc>
        <w:tc>
          <w:tcPr>
            <w:tcW w:w="3780" w:type="dxa"/>
            <w:tcBorders>
              <w:left w:val="single" w:sz="4" w:space="0" w:color="CCE0DA"/>
              <w:bottom w:val="single" w:sz="12" w:space="0" w:color="CCE0DA"/>
              <w:right w:val="single" w:sz="12" w:space="0" w:color="CCE0DA"/>
            </w:tcBorders>
          </w:tcPr>
          <w:p w:rsidR="008D4BDC" w:rsidRPr="00031E93" w:rsidRDefault="00FF3867" w:rsidP="004A5173">
            <w:pPr>
              <w:spacing w:after="60"/>
              <w:ind w:left="57" w:right="57"/>
              <w:rPr>
                <w:rStyle w:val="Hyperlink"/>
              </w:rPr>
            </w:pPr>
            <w:hyperlink r:id="rId49" w:history="1">
              <w:r w:rsidR="008D4BDC" w:rsidRPr="00031E93">
                <w:rPr>
                  <w:rStyle w:val="Hyperlink"/>
                </w:rPr>
                <w:t>https://www.elexon.co.uk/mod-proposal/p272-mandatory-half-hourly-settlement-for-profile-classes-5-8/</w:t>
              </w:r>
            </w:hyperlink>
          </w:p>
        </w:tc>
      </w:tr>
    </w:tbl>
    <w:p w:rsidR="00842B01" w:rsidRPr="001F2A7A" w:rsidRDefault="00842B01" w:rsidP="008A0BE7">
      <w:pPr>
        <w:pStyle w:val="BodyText"/>
      </w:pPr>
    </w:p>
    <w:sectPr w:rsidR="00842B01" w:rsidRPr="001F2A7A" w:rsidSect="00526E7D">
      <w:headerReference w:type="first" r:id="rId50"/>
      <w:footerReference w:type="first" r:id="rId51"/>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FFF" w:rsidRDefault="00D56FFF">
      <w:r>
        <w:separator/>
      </w:r>
    </w:p>
  </w:endnote>
  <w:endnote w:type="continuationSeparator" w:id="0">
    <w:p w:rsidR="00D56FFF" w:rsidRDefault="00D5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Pr="00843EA5" w:rsidRDefault="00D56FFF"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08E59FF2" wp14:editId="6C35CE78">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24</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30"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24</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19465B01" wp14:editId="3B1DEF22">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1</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9"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1</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6C276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1A5A15">
    <w:pPr>
      <w:pStyle w:val="Footer"/>
      <w:tabs>
        <w:tab w:val="clear" w:pos="4153"/>
        <w:tab w:val="clear" w:pos="8306"/>
      </w:tabs>
    </w:pPr>
    <w:r>
      <w:rPr>
        <w:noProof/>
      </w:rPr>
      <mc:AlternateContent>
        <mc:Choice Requires="wps">
          <w:drawing>
            <wp:anchor distT="0" distB="0" distL="114300" distR="114300" simplePos="0" relativeHeight="251656704" behindDoc="0" locked="1" layoutInCell="1" allowOverlap="1" wp14:anchorId="08406A9B" wp14:editId="2A46831E">
              <wp:simplePos x="0" y="0"/>
              <wp:positionH relativeFrom="page">
                <wp:posOffset>6012815</wp:posOffset>
              </wp:positionH>
              <wp:positionV relativeFrom="page">
                <wp:posOffset>8749030</wp:posOffset>
              </wp:positionV>
              <wp:extent cx="1332230" cy="1677035"/>
              <wp:effectExtent l="2540" t="0" r="0" b="3810"/>
              <wp:wrapNone/>
              <wp:docPr id="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5" o:spid="_x0000_s1040" type="#_x0000_t202" style="position:absolute;margin-left:473.45pt;margin-top:688.9pt;width:104.9pt;height:132.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LDZ3rqzAgAA&#10;sw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1A5A15">
    <w:pPr>
      <w:pStyle w:val="Footer"/>
      <w:tabs>
        <w:tab w:val="clear" w:pos="4153"/>
        <w:tab w:val="clear" w:pos="8306"/>
      </w:tabs>
    </w:pPr>
    <w:r>
      <w:rPr>
        <w:noProof/>
      </w:rPr>
      <mc:AlternateContent>
        <mc:Choice Requires="wps">
          <w:drawing>
            <wp:anchor distT="0" distB="0" distL="114300" distR="114300" simplePos="0" relativeHeight="251657728" behindDoc="0" locked="1" layoutInCell="1" allowOverlap="1" wp14:anchorId="27DA970C" wp14:editId="07E1742A">
              <wp:simplePos x="0" y="0"/>
              <wp:positionH relativeFrom="page">
                <wp:posOffset>6012815</wp:posOffset>
              </wp:positionH>
              <wp:positionV relativeFrom="page">
                <wp:posOffset>8749030</wp:posOffset>
              </wp:positionV>
              <wp:extent cx="1332230" cy="1677035"/>
              <wp:effectExtent l="2540" t="0" r="0" b="3810"/>
              <wp:wrapNone/>
              <wp:docPr id="4"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w:instrText>
                                </w:r>
                                <w:r>
                                  <w:instrText xml:space="preserv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6</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6" o:spid="_x0000_s1041" type="#_x0000_t202" style="position:absolute;margin-left:473.45pt;margin-top:688.9pt;width:104.9pt;height:132.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JBr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ixCQa7ICAAC0&#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w:instrText>
                          </w:r>
                          <w:r>
                            <w:instrText xml:space="preserv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6</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1A5A15">
    <w:pPr>
      <w:pStyle w:val="Footer"/>
      <w:tabs>
        <w:tab w:val="clear" w:pos="4153"/>
        <w:tab w:val="clear" w:pos="8306"/>
      </w:tabs>
    </w:pPr>
    <w:r>
      <w:rPr>
        <w:noProof/>
      </w:rPr>
      <mc:AlternateContent>
        <mc:Choice Requires="wps">
          <w:drawing>
            <wp:anchor distT="0" distB="0" distL="114300" distR="114300" simplePos="0" relativeHeight="251661824" behindDoc="0" locked="1" layoutInCell="1" allowOverlap="1" wp14:anchorId="0518DA53" wp14:editId="257C4E36">
              <wp:simplePos x="0" y="0"/>
              <wp:positionH relativeFrom="page">
                <wp:posOffset>6012815</wp:posOffset>
              </wp:positionH>
              <wp:positionV relativeFrom="page">
                <wp:posOffset>8749030</wp:posOffset>
              </wp:positionV>
              <wp:extent cx="1332230" cy="1677035"/>
              <wp:effectExtent l="2540" t="0" r="0" b="3810"/>
              <wp:wrapNone/>
              <wp:docPr id="8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C7F6C">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C7F6C">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r w:rsidR="00D56FFF">
                                  <w:t xml:space="preserve"> </w:t>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8</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C7F6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0" o:spid="_x0000_s1042" type="#_x0000_t202" style="position:absolute;margin-left:473.45pt;margin-top:688.9pt;width:104.9pt;height:132.0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urNsw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Ena6s2zAgAA&#10;tA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C7F6C">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C7F6C">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r w:rsidR="00D56FFF">
                            <w:t xml:space="preserve"> </w:t>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8</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C7F6C">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1A5A15">
    <w:pPr>
      <w:pStyle w:val="Footer"/>
      <w:tabs>
        <w:tab w:val="clear" w:pos="4153"/>
        <w:tab w:val="clear" w:pos="8306"/>
      </w:tabs>
    </w:pPr>
    <w:r>
      <w:rPr>
        <w:noProof/>
      </w:rPr>
      <mc:AlternateContent>
        <mc:Choice Requires="wps">
          <w:drawing>
            <wp:anchor distT="0" distB="0" distL="114300" distR="114300" simplePos="0" relativeHeight="251659776" behindDoc="0" locked="1" layoutInCell="1" allowOverlap="1" wp14:anchorId="2CD13FF7" wp14:editId="728FB21B">
              <wp:simplePos x="0" y="0"/>
              <wp:positionH relativeFrom="page">
                <wp:posOffset>6012815</wp:posOffset>
              </wp:positionH>
              <wp:positionV relativeFrom="page">
                <wp:posOffset>8749030</wp:posOffset>
              </wp:positionV>
              <wp:extent cx="1332230" cy="1677035"/>
              <wp:effectExtent l="2540" t="0" r="0" b="3810"/>
              <wp:wrapNone/>
              <wp:docPr id="3"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19</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0" o:spid="_x0000_s1043" type="#_x0000_t202" style="position:absolute;margin-left:473.45pt;margin-top:688.9pt;width:104.9pt;height:132.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OHEtA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jHOHEtAIA&#10;ALQFAAAOAAAAAAAAAAAAAAAAAC4CAABkcnMvZTJvRG9jLnhtbFBLAQItABQABgAIAAAAIQDviRWw&#10;4gAAAA4BAAAPAAAAAAAAAAAAAAAAAA4FAABkcnMvZG93bnJldi54bWxQSwUGAAAAAAQABADzAAAA&#10;HQ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19</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900242">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1A5A15">
    <w:pPr>
      <w:pStyle w:val="Footer"/>
      <w:tabs>
        <w:tab w:val="clear" w:pos="4153"/>
        <w:tab w:val="clear" w:pos="8306"/>
      </w:tabs>
    </w:pPr>
    <w:r>
      <w:rPr>
        <w:noProof/>
      </w:rPr>
      <mc:AlternateContent>
        <mc:Choice Requires="wps">
          <w:drawing>
            <wp:anchor distT="0" distB="0" distL="114300" distR="114300" simplePos="0" relativeHeight="251673088" behindDoc="0" locked="1" layoutInCell="1" allowOverlap="1" wp14:anchorId="2AD7FCAA" wp14:editId="3B04BF14">
              <wp:simplePos x="0" y="0"/>
              <wp:positionH relativeFrom="page">
                <wp:posOffset>6012815</wp:posOffset>
              </wp:positionH>
              <wp:positionV relativeFrom="page">
                <wp:posOffset>8749030</wp:posOffset>
              </wp:positionV>
              <wp:extent cx="1332230" cy="1677035"/>
              <wp:effectExtent l="2540" t="0" r="0" b="3810"/>
              <wp:wrapNone/>
              <wp:docPr id="20"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8A0BE7">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8A0BE7">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20</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8A0BE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3" o:spid="_x0000_s1044" type="#_x0000_t202" style="position:absolute;margin-left:473.45pt;margin-top:688.9pt;width:104.9pt;height:132.0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ZHSGfsQIAALU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8A0BE7">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8A0BE7">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20</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Pr="006C2760" w:rsidRDefault="00D56FFF" w:rsidP="008A0BE7">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DC" w:rsidRDefault="008D4BDC" w:rsidP="001A5A15">
    <w:pPr>
      <w:pStyle w:val="Footer"/>
      <w:tabs>
        <w:tab w:val="clear" w:pos="4153"/>
        <w:tab w:val="clear" w:pos="8306"/>
      </w:tabs>
    </w:pPr>
    <w:r>
      <w:rPr>
        <w:noProof/>
      </w:rPr>
      <mc:AlternateContent>
        <mc:Choice Requires="wps">
          <w:drawing>
            <wp:anchor distT="0" distB="0" distL="114300" distR="114300" simplePos="0" relativeHeight="251675136" behindDoc="0" locked="1" layoutInCell="1" allowOverlap="1" wp14:anchorId="6C1F3D63" wp14:editId="0582FA3A">
              <wp:simplePos x="0" y="0"/>
              <wp:positionH relativeFrom="page">
                <wp:posOffset>6012815</wp:posOffset>
              </wp:positionH>
              <wp:positionV relativeFrom="page">
                <wp:posOffset>8749030</wp:posOffset>
              </wp:positionV>
              <wp:extent cx="1332230" cy="1677035"/>
              <wp:effectExtent l="2540" t="0" r="0" b="3810"/>
              <wp:wrapNone/>
              <wp:docPr id="100"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BDC">
                            <w:trPr>
                              <w:trHeight w:val="340"/>
                            </w:trPr>
                            <w:tc>
                              <w:tcPr>
                                <w:tcW w:w="2113" w:type="dxa"/>
                                <w:vAlign w:val="center"/>
                              </w:tcPr>
                              <w:p w:rsidR="008D4BDC" w:rsidRDefault="008D4BDC" w:rsidP="006C2760">
                                <w:pPr>
                                  <w:pStyle w:val="Footer"/>
                                </w:pPr>
                                <w:fldSimple w:instr=" DOCPROPERTY  &quot;Panel number&quot;  \* MERGEFORMAT ">
                                  <w:r>
                                    <w:t>259/05</w:t>
                                  </w:r>
                                </w:fldSimple>
                              </w:p>
                            </w:tc>
                          </w:tr>
                          <w:tr w:rsidR="008D4BDC">
                            <w:trPr>
                              <w:trHeight w:val="748"/>
                            </w:trPr>
                            <w:tc>
                              <w:tcPr>
                                <w:tcW w:w="2113" w:type="dxa"/>
                              </w:tcPr>
                              <w:p w:rsidR="008D4BDC" w:rsidRDefault="008D4BDC" w:rsidP="009A745E">
                                <w:pPr>
                                  <w:pStyle w:val="Footer"/>
                                  <w:spacing w:before="40"/>
                                </w:pPr>
                                <w:fldSimple w:instr=" DOCPROPERTY  Subject  \* MERGEFORMAT ">
                                  <w:r>
                                    <w:t>P346</w:t>
                                  </w:r>
                                </w:fldSimple>
                              </w:p>
                              <w:p w:rsidR="008D4BDC" w:rsidRDefault="008D4BDC" w:rsidP="009A745E">
                                <w:pPr>
                                  <w:pStyle w:val="Footer"/>
                                  <w:spacing w:before="40"/>
                                </w:pPr>
                                <w:fldSimple w:instr=" DOCPROPERTY  Title  \* MERGEFORMAT ">
                                  <w:r>
                                    <w:t>Draft Modification Report</w:t>
                                  </w:r>
                                </w:fldSimple>
                              </w:p>
                            </w:tc>
                          </w:tr>
                          <w:tr w:rsidR="008D4BDC">
                            <w:trPr>
                              <w:trHeight w:val="340"/>
                            </w:trPr>
                            <w:tc>
                              <w:tcPr>
                                <w:tcW w:w="2113" w:type="dxa"/>
                                <w:vAlign w:val="center"/>
                              </w:tcPr>
                              <w:p w:rsidR="008D4BDC" w:rsidRPr="006C2760" w:rsidRDefault="008D4BDC" w:rsidP="006C2760">
                                <w:pPr>
                                  <w:pStyle w:val="Footer"/>
                                </w:pPr>
                                <w:fldSimple w:instr=" DOCPROPERTY  Date  \* MERGEFORMAT ">
                                  <w:r>
                                    <w:t>3 November 2016</w:t>
                                  </w:r>
                                </w:fldSimple>
                              </w:p>
                            </w:tc>
                          </w:tr>
                          <w:tr w:rsidR="008D4BDC">
                            <w:trPr>
                              <w:trHeight w:val="340"/>
                            </w:trPr>
                            <w:tc>
                              <w:tcPr>
                                <w:tcW w:w="2113" w:type="dxa"/>
                                <w:vAlign w:val="center"/>
                              </w:tcPr>
                              <w:p w:rsidR="008D4BDC" w:rsidRPr="006C2760" w:rsidRDefault="008D4BDC" w:rsidP="006C2760">
                                <w:pPr>
                                  <w:pStyle w:val="Footer"/>
                                </w:pPr>
                                <w:r w:rsidRPr="006C2760">
                                  <w:t xml:space="preserve">Version </w:t>
                                </w:r>
                                <w:fldSimple w:instr=" DOCPROPERTY  Version  \* MERGEFORMAT ">
                                  <w:r>
                                    <w:t>1.0</w:t>
                                  </w:r>
                                </w:fldSimple>
                              </w:p>
                            </w:tc>
                          </w:tr>
                          <w:tr w:rsidR="008D4BDC">
                            <w:trPr>
                              <w:trHeight w:val="340"/>
                            </w:trPr>
                            <w:tc>
                              <w:tcPr>
                                <w:tcW w:w="2113" w:type="dxa"/>
                                <w:vAlign w:val="center"/>
                              </w:tcPr>
                              <w:p w:rsidR="008D4BDC" w:rsidRPr="006C2760" w:rsidRDefault="008D4BDC"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22</w:t>
                                </w:r>
                                <w:r w:rsidRPr="006C2760">
                                  <w:fldChar w:fldCharType="end"/>
                                </w:r>
                                <w:r w:rsidRPr="006C2760">
                                  <w:t xml:space="preserve"> of </w:t>
                                </w:r>
                                <w:fldSimple w:instr=" NUMPAGES ">
                                  <w:r w:rsidR="00FF3867">
                                    <w:rPr>
                                      <w:noProof/>
                                    </w:rPr>
                                    <w:t>24</w:t>
                                  </w:r>
                                </w:fldSimple>
                              </w:p>
                            </w:tc>
                          </w:tr>
                          <w:tr w:rsidR="008D4BDC">
                            <w:trPr>
                              <w:trHeight w:val="340"/>
                            </w:trPr>
                            <w:tc>
                              <w:tcPr>
                                <w:tcW w:w="2113" w:type="dxa"/>
                                <w:vAlign w:val="center"/>
                              </w:tcPr>
                              <w:p w:rsidR="008D4BDC" w:rsidRPr="006C2760" w:rsidRDefault="008D4BDC"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8D4BDC" w:rsidRDefault="008D4BD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margin-left:473.45pt;margin-top:688.9pt;width:104.9pt;height:132.0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VrvLHbICAAC2&#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BDC">
                      <w:trPr>
                        <w:trHeight w:val="340"/>
                      </w:trPr>
                      <w:tc>
                        <w:tcPr>
                          <w:tcW w:w="2113" w:type="dxa"/>
                          <w:vAlign w:val="center"/>
                        </w:tcPr>
                        <w:p w:rsidR="008D4BDC" w:rsidRDefault="008D4BDC" w:rsidP="006C2760">
                          <w:pPr>
                            <w:pStyle w:val="Footer"/>
                          </w:pPr>
                          <w:fldSimple w:instr=" DOCPROPERTY  &quot;Panel number&quot;  \* MERGEFORMAT ">
                            <w:r>
                              <w:t>259/05</w:t>
                            </w:r>
                          </w:fldSimple>
                        </w:p>
                      </w:tc>
                    </w:tr>
                    <w:tr w:rsidR="008D4BDC">
                      <w:trPr>
                        <w:trHeight w:val="748"/>
                      </w:trPr>
                      <w:tc>
                        <w:tcPr>
                          <w:tcW w:w="2113" w:type="dxa"/>
                        </w:tcPr>
                        <w:p w:rsidR="008D4BDC" w:rsidRDefault="008D4BDC" w:rsidP="009A745E">
                          <w:pPr>
                            <w:pStyle w:val="Footer"/>
                            <w:spacing w:before="40"/>
                          </w:pPr>
                          <w:fldSimple w:instr=" DOCPROPERTY  Subject  \* MERGEFORMAT ">
                            <w:r>
                              <w:t>P346</w:t>
                            </w:r>
                          </w:fldSimple>
                        </w:p>
                        <w:p w:rsidR="008D4BDC" w:rsidRDefault="008D4BDC" w:rsidP="009A745E">
                          <w:pPr>
                            <w:pStyle w:val="Footer"/>
                            <w:spacing w:before="40"/>
                          </w:pPr>
                          <w:fldSimple w:instr=" DOCPROPERTY  Title  \* MERGEFORMAT ">
                            <w:r>
                              <w:t>Draft Modification Report</w:t>
                            </w:r>
                          </w:fldSimple>
                        </w:p>
                      </w:tc>
                    </w:tr>
                    <w:tr w:rsidR="008D4BDC">
                      <w:trPr>
                        <w:trHeight w:val="340"/>
                      </w:trPr>
                      <w:tc>
                        <w:tcPr>
                          <w:tcW w:w="2113" w:type="dxa"/>
                          <w:vAlign w:val="center"/>
                        </w:tcPr>
                        <w:p w:rsidR="008D4BDC" w:rsidRPr="006C2760" w:rsidRDefault="008D4BDC" w:rsidP="006C2760">
                          <w:pPr>
                            <w:pStyle w:val="Footer"/>
                          </w:pPr>
                          <w:fldSimple w:instr=" DOCPROPERTY  Date  \* MERGEFORMAT ">
                            <w:r>
                              <w:t>3 November 2016</w:t>
                            </w:r>
                          </w:fldSimple>
                        </w:p>
                      </w:tc>
                    </w:tr>
                    <w:tr w:rsidR="008D4BDC">
                      <w:trPr>
                        <w:trHeight w:val="340"/>
                      </w:trPr>
                      <w:tc>
                        <w:tcPr>
                          <w:tcW w:w="2113" w:type="dxa"/>
                          <w:vAlign w:val="center"/>
                        </w:tcPr>
                        <w:p w:rsidR="008D4BDC" w:rsidRPr="006C2760" w:rsidRDefault="008D4BDC" w:rsidP="006C2760">
                          <w:pPr>
                            <w:pStyle w:val="Footer"/>
                          </w:pPr>
                          <w:r w:rsidRPr="006C2760">
                            <w:t xml:space="preserve">Version </w:t>
                          </w:r>
                          <w:fldSimple w:instr=" DOCPROPERTY  Version  \* MERGEFORMAT ">
                            <w:r>
                              <w:t>1.0</w:t>
                            </w:r>
                          </w:fldSimple>
                        </w:p>
                      </w:tc>
                    </w:tr>
                    <w:tr w:rsidR="008D4BDC">
                      <w:trPr>
                        <w:trHeight w:val="340"/>
                      </w:trPr>
                      <w:tc>
                        <w:tcPr>
                          <w:tcW w:w="2113" w:type="dxa"/>
                          <w:vAlign w:val="center"/>
                        </w:tcPr>
                        <w:p w:rsidR="008D4BDC" w:rsidRPr="006C2760" w:rsidRDefault="008D4BDC"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22</w:t>
                          </w:r>
                          <w:r w:rsidRPr="006C2760">
                            <w:fldChar w:fldCharType="end"/>
                          </w:r>
                          <w:r w:rsidRPr="006C2760">
                            <w:t xml:space="preserve"> of </w:t>
                          </w:r>
                          <w:fldSimple w:instr=" NUMPAGES ">
                            <w:r w:rsidR="00FF3867">
                              <w:rPr>
                                <w:noProof/>
                              </w:rPr>
                              <w:t>24</w:t>
                            </w:r>
                          </w:fldSimple>
                        </w:p>
                      </w:tc>
                    </w:tr>
                    <w:tr w:rsidR="008D4BDC">
                      <w:trPr>
                        <w:trHeight w:val="340"/>
                      </w:trPr>
                      <w:tc>
                        <w:tcPr>
                          <w:tcW w:w="2113" w:type="dxa"/>
                          <w:vAlign w:val="center"/>
                        </w:tcPr>
                        <w:p w:rsidR="008D4BDC" w:rsidRPr="006C2760" w:rsidRDefault="008D4BDC"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8D4BDC" w:rsidRDefault="008D4BDC"/>
                </w:txbxContent>
              </v:textbox>
              <w10:wrap anchorx="page" anchory="page"/>
              <w10:anchorlock/>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1A5A15">
    <w:pPr>
      <w:pStyle w:val="Footer"/>
      <w:tabs>
        <w:tab w:val="clear" w:pos="4153"/>
        <w:tab w:val="clear" w:pos="8306"/>
      </w:tabs>
    </w:pPr>
    <w:r>
      <w:rPr>
        <w:noProof/>
      </w:rPr>
      <mc:AlternateContent>
        <mc:Choice Requires="wps">
          <w:drawing>
            <wp:anchor distT="0" distB="0" distL="114300" distR="114300" simplePos="0" relativeHeight="251672064" behindDoc="0" locked="1" layoutInCell="1" allowOverlap="1" wp14:anchorId="23797E25" wp14:editId="06E90D50">
              <wp:simplePos x="0" y="0"/>
              <wp:positionH relativeFrom="page">
                <wp:posOffset>6012815</wp:posOffset>
              </wp:positionH>
              <wp:positionV relativeFrom="page">
                <wp:posOffset>8749030</wp:posOffset>
              </wp:positionV>
              <wp:extent cx="1332230" cy="1677035"/>
              <wp:effectExtent l="2540" t="0" r="0" b="3810"/>
              <wp:wrapNone/>
              <wp:docPr id="2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23</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Default="00D56F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margin-left:473.45pt;margin-top:688.9pt;width:104.9pt;height:132.0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iODswIAALU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KsmI4OzAgAA&#10;tQ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56FFF">
                      <w:trPr>
                        <w:trHeight w:val="340"/>
                      </w:trPr>
                      <w:tc>
                        <w:tcPr>
                          <w:tcW w:w="2113" w:type="dxa"/>
                          <w:vAlign w:val="center"/>
                        </w:tcPr>
                        <w:p w:rsidR="00D56FFF" w:rsidRDefault="00FF3867" w:rsidP="006C2760">
                          <w:pPr>
                            <w:pStyle w:val="Footer"/>
                          </w:pPr>
                          <w:r>
                            <w:fldChar w:fldCharType="begin"/>
                          </w:r>
                          <w:r>
                            <w:instrText xml:space="preserve"> DOCPROPERTY  "Panel number"  \* MERGEFORMAT </w:instrText>
                          </w:r>
                          <w:r>
                            <w:fldChar w:fldCharType="separate"/>
                          </w:r>
                          <w:r w:rsidR="00D56FFF">
                            <w:t xml:space="preserve"> </w:t>
                          </w:r>
                          <w:r>
                            <w:fldChar w:fldCharType="end"/>
                          </w:r>
                        </w:p>
                      </w:tc>
                    </w:tr>
                    <w:tr w:rsidR="00D56FFF">
                      <w:trPr>
                        <w:trHeight w:val="748"/>
                      </w:trPr>
                      <w:tc>
                        <w:tcPr>
                          <w:tcW w:w="2113" w:type="dxa"/>
                        </w:tcPr>
                        <w:p w:rsidR="00D56FFF" w:rsidRDefault="00FF3867" w:rsidP="009A745E">
                          <w:pPr>
                            <w:pStyle w:val="Footer"/>
                            <w:spacing w:before="40"/>
                          </w:pPr>
                          <w:r>
                            <w:fldChar w:fldCharType="begin"/>
                          </w:r>
                          <w:r>
                            <w:instrText xml:space="preserve"> DOCPROPERTY  Subject  \* MERGEFORMAT </w:instrText>
                          </w:r>
                          <w:r>
                            <w:fldChar w:fldCharType="separate"/>
                          </w:r>
                          <w:r w:rsidR="00D56FFF">
                            <w:t>P346</w:t>
                          </w:r>
                          <w:r>
                            <w:fldChar w:fldCharType="end"/>
                          </w:r>
                        </w:p>
                        <w:p w:rsidR="00D56FFF" w:rsidRDefault="00FF3867" w:rsidP="009A745E">
                          <w:pPr>
                            <w:pStyle w:val="Footer"/>
                            <w:spacing w:before="40"/>
                          </w:pPr>
                          <w:r>
                            <w:fldChar w:fldCharType="begin"/>
                          </w:r>
                          <w:r>
                            <w:instrText xml:space="preserve"> DOCPROPERTY  Title  \* MERGEFORMAT </w:instrText>
                          </w:r>
                          <w:r>
                            <w:fldChar w:fldCharType="separate"/>
                          </w:r>
                          <w:r w:rsidR="00D56FFF">
                            <w:t>Final Modification Report</w:t>
                          </w:r>
                          <w:r>
                            <w:fldChar w:fldCharType="end"/>
                          </w:r>
                        </w:p>
                      </w:tc>
                    </w:tr>
                    <w:tr w:rsidR="00D56FFF">
                      <w:trPr>
                        <w:trHeight w:val="340"/>
                      </w:trPr>
                      <w:tc>
                        <w:tcPr>
                          <w:tcW w:w="2113" w:type="dxa"/>
                          <w:vAlign w:val="center"/>
                        </w:tcPr>
                        <w:p w:rsidR="00D56FFF" w:rsidRPr="006C2760" w:rsidRDefault="00FF3867" w:rsidP="006C2760">
                          <w:pPr>
                            <w:pStyle w:val="Footer"/>
                          </w:pPr>
                          <w:r>
                            <w:fldChar w:fldCharType="begin"/>
                          </w:r>
                          <w:r>
                            <w:instrText xml:space="preserve"> DOCPROPERTY  Date  \* MERGEFORMAT </w:instrText>
                          </w:r>
                          <w:r>
                            <w:fldChar w:fldCharType="separate"/>
                          </w:r>
                          <w:r w:rsidR="00D56FFF">
                            <w:t>15 November 2016</w:t>
                          </w:r>
                          <w: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Version </w:t>
                          </w:r>
                          <w:r w:rsidR="00FF3867">
                            <w:fldChar w:fldCharType="begin"/>
                          </w:r>
                          <w:r w:rsidR="00FF3867">
                            <w:instrText xml:space="preserve"> DOCPROPERTY  Version  \* MERGEFORMAT </w:instrText>
                          </w:r>
                          <w:r w:rsidR="00FF3867">
                            <w:fldChar w:fldCharType="separate"/>
                          </w:r>
                          <w:r>
                            <w:t>1.0</w:t>
                          </w:r>
                          <w:r w:rsidR="00FF3867">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Page </w:t>
                          </w:r>
                          <w:r w:rsidRPr="006C2760">
                            <w:fldChar w:fldCharType="begin"/>
                          </w:r>
                          <w:r w:rsidRPr="006C2760">
                            <w:instrText xml:space="preserve"> PAGE </w:instrText>
                          </w:r>
                          <w:r w:rsidRPr="006C2760">
                            <w:fldChar w:fldCharType="separate"/>
                          </w:r>
                          <w:r w:rsidR="00FF3867">
                            <w:rPr>
                              <w:noProof/>
                            </w:rPr>
                            <w:t>23</w:t>
                          </w:r>
                          <w:r w:rsidRPr="006C2760">
                            <w:fldChar w:fldCharType="end"/>
                          </w:r>
                          <w:r w:rsidRPr="006C2760">
                            <w:t xml:space="preserve"> of </w:t>
                          </w:r>
                          <w:r w:rsidR="00FF3867">
                            <w:fldChar w:fldCharType="begin"/>
                          </w:r>
                          <w:r w:rsidR="00FF3867">
                            <w:instrText xml:space="preserve"> NUMPAGES </w:instrText>
                          </w:r>
                          <w:r w:rsidR="00FF3867">
                            <w:fldChar w:fldCharType="separate"/>
                          </w:r>
                          <w:r w:rsidR="00FF3867">
                            <w:rPr>
                              <w:noProof/>
                            </w:rPr>
                            <w:t>24</w:t>
                          </w:r>
                          <w:r w:rsidR="00FF3867">
                            <w:rPr>
                              <w:noProof/>
                            </w:rPr>
                            <w:fldChar w:fldCharType="end"/>
                          </w:r>
                        </w:p>
                      </w:tc>
                    </w:tr>
                    <w:tr w:rsidR="00D56FFF">
                      <w:trPr>
                        <w:trHeight w:val="340"/>
                      </w:trPr>
                      <w:tc>
                        <w:tcPr>
                          <w:tcW w:w="2113" w:type="dxa"/>
                          <w:vAlign w:val="center"/>
                        </w:tcPr>
                        <w:p w:rsidR="00D56FFF" w:rsidRPr="006C2760" w:rsidRDefault="00D56FFF" w:rsidP="006C2760">
                          <w:pPr>
                            <w:pStyle w:val="Footer"/>
                          </w:pPr>
                          <w:r w:rsidRPr="006C2760">
                            <w:t xml:space="preserve">© ELEXON Limited </w:t>
                          </w:r>
                          <w:r>
                            <w:fldChar w:fldCharType="begin"/>
                          </w:r>
                          <w:r>
                            <w:instrText xml:space="preserve"> DATE  \@ "yyyy"  \* MERGEFORMAT </w:instrText>
                          </w:r>
                          <w:r>
                            <w:fldChar w:fldCharType="separate"/>
                          </w:r>
                          <w:r w:rsidR="00FF3867">
                            <w:rPr>
                              <w:noProof/>
                            </w:rPr>
                            <w:t>2016</w:t>
                          </w:r>
                          <w:r>
                            <w:fldChar w:fldCharType="end"/>
                          </w:r>
                        </w:p>
                      </w:tc>
                    </w:tr>
                  </w:tbl>
                  <w:p w:rsidR="00D56FFF" w:rsidRDefault="00D56FFF"/>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FFF" w:rsidRDefault="00D56FFF">
      <w:r>
        <w:separator/>
      </w:r>
    </w:p>
  </w:footnote>
  <w:footnote w:type="continuationSeparator" w:id="0">
    <w:p w:rsidR="00D56FFF" w:rsidRDefault="00D56FFF">
      <w:r>
        <w:continuationSeparator/>
      </w:r>
    </w:p>
  </w:footnote>
  <w:footnote w:id="1">
    <w:p w:rsidR="00D56FFF" w:rsidRPr="00DA3858" w:rsidRDefault="00D56FFF" w:rsidP="000E7277">
      <w:pPr>
        <w:pStyle w:val="FootnoteText"/>
        <w:rPr>
          <w:rStyle w:val="FootnoteReference"/>
        </w:rPr>
      </w:pPr>
      <w:r>
        <w:rPr>
          <w:rStyle w:val="FootnoteReference"/>
        </w:rPr>
        <w:footnoteRef/>
      </w:r>
      <w:r w:rsidRPr="0082786A">
        <w:rPr>
          <w:rStyle w:val="FootnoteReference"/>
        </w:rPr>
        <w:t xml:space="preserve"> </w:t>
      </w:r>
      <w:r w:rsidRPr="00DA3858">
        <w:rPr>
          <w:rStyle w:val="FootnoteReference"/>
        </w:rPr>
        <w:t>Source: 2015-16 Review of Specified Charges, ELEXON Finance Department</w:t>
      </w:r>
    </w:p>
  </w:footnote>
  <w:footnote w:id="2">
    <w:p w:rsidR="00D56FFF" w:rsidRPr="00DA3858" w:rsidRDefault="00D56FFF" w:rsidP="000E7277">
      <w:pPr>
        <w:pStyle w:val="FootnoteText"/>
        <w:rPr>
          <w:rStyle w:val="FootnoteReference"/>
        </w:rPr>
      </w:pPr>
      <w:r>
        <w:rPr>
          <w:rStyle w:val="FootnoteReference"/>
        </w:rPr>
        <w:footnoteRef/>
      </w:r>
      <w:r w:rsidRPr="00DA3858">
        <w:rPr>
          <w:rStyle w:val="FootnoteReference"/>
        </w:rPr>
        <w:t xml:space="preserve"> (a) x 0.5</w:t>
      </w:r>
    </w:p>
  </w:footnote>
  <w:footnote w:id="3">
    <w:p w:rsidR="00D56FFF" w:rsidRPr="00DA3858" w:rsidRDefault="00D56FFF" w:rsidP="000E7277">
      <w:pPr>
        <w:pStyle w:val="FootnoteText"/>
        <w:rPr>
          <w:rStyle w:val="FootnoteReference"/>
        </w:rPr>
      </w:pPr>
      <w:r>
        <w:rPr>
          <w:rStyle w:val="FootnoteReference"/>
        </w:rPr>
        <w:footnoteRef/>
      </w:r>
      <w:r w:rsidRPr="00DA3858">
        <w:rPr>
          <w:rStyle w:val="FootnoteReference"/>
        </w:rPr>
        <w:t xml:space="preserve"> Source: Schedule of Main and SVA Specified Charges v7.0</w:t>
      </w:r>
    </w:p>
  </w:footnote>
  <w:footnote w:id="4">
    <w:p w:rsidR="00D56FFF" w:rsidRPr="00A244E6" w:rsidRDefault="00D56FFF" w:rsidP="000E7277">
      <w:pPr>
        <w:pStyle w:val="FootnoteText"/>
        <w:rPr>
          <w:vertAlign w:val="superscript"/>
        </w:rPr>
      </w:pPr>
      <w:r>
        <w:rPr>
          <w:rStyle w:val="FootnoteReference"/>
        </w:rPr>
        <w:footnoteRef/>
      </w:r>
      <w:r w:rsidRPr="00DA3858">
        <w:rPr>
          <w:rStyle w:val="FootnoteReference"/>
        </w:rPr>
        <w:t xml:space="preserve"> Source: ELEXON FALCON database</w:t>
      </w:r>
      <w:r w:rsidRPr="00A244E6">
        <w:rPr>
          <w:vertAlign w:val="superscript"/>
        </w:rPr>
        <w:t xml:space="preserve"> (as at 30 June 2016)</w:t>
      </w:r>
    </w:p>
  </w:footnote>
  <w:footnote w:id="5">
    <w:p w:rsidR="00D56FFF" w:rsidRDefault="00D56FFF" w:rsidP="000E7277">
      <w:pPr>
        <w:pStyle w:val="FootnoteText"/>
      </w:pPr>
      <w:r>
        <w:rPr>
          <w:rStyle w:val="FootnoteReference"/>
        </w:rPr>
        <w:footnoteRef/>
      </w:r>
      <w:r>
        <w:t xml:space="preserve"> </w:t>
      </w:r>
      <w:r w:rsidRPr="003119F7">
        <w:rPr>
          <w:vertAlign w:val="superscript"/>
        </w:rPr>
        <w:t>(d) + (e)</w:t>
      </w:r>
    </w:p>
  </w:footnote>
  <w:footnote w:id="6">
    <w:p w:rsidR="00D56FFF" w:rsidRDefault="00D56FFF" w:rsidP="000E7277">
      <w:pPr>
        <w:pStyle w:val="FootnoteText"/>
      </w:pPr>
      <w:r>
        <w:rPr>
          <w:rStyle w:val="FootnoteReference"/>
        </w:rPr>
        <w:footnoteRef/>
      </w:r>
      <w:r>
        <w:t xml:space="preserve"> </w:t>
      </w:r>
      <w:r w:rsidRPr="003119F7">
        <w:rPr>
          <w:vertAlign w:val="superscript"/>
        </w:rPr>
        <w:t>(c) x (d)</w:t>
      </w:r>
    </w:p>
  </w:footnote>
  <w:footnote w:id="7">
    <w:p w:rsidR="00D56FFF" w:rsidRDefault="00D56FFF" w:rsidP="000E7277">
      <w:pPr>
        <w:pStyle w:val="FootnoteText"/>
      </w:pPr>
      <w:r>
        <w:rPr>
          <w:rStyle w:val="FootnoteReference"/>
        </w:rPr>
        <w:footnoteRef/>
      </w:r>
      <w:r>
        <w:t xml:space="preserve"> </w:t>
      </w:r>
      <w:r w:rsidRPr="003119F7">
        <w:rPr>
          <w:vertAlign w:val="superscript"/>
        </w:rPr>
        <w:t>(g) x 12</w:t>
      </w:r>
    </w:p>
  </w:footnote>
  <w:footnote w:id="8">
    <w:p w:rsidR="00D56FFF" w:rsidRDefault="00D56FFF" w:rsidP="000E7277">
      <w:pPr>
        <w:pStyle w:val="FootnoteText"/>
      </w:pPr>
      <w:r>
        <w:rPr>
          <w:rStyle w:val="FootnoteReference"/>
        </w:rPr>
        <w:footnoteRef/>
      </w:r>
      <w:r>
        <w:t xml:space="preserve"> </w:t>
      </w:r>
      <w:r w:rsidRPr="003119F7">
        <w:rPr>
          <w:vertAlign w:val="superscript"/>
        </w:rPr>
        <w:t>(b) - (h)</w:t>
      </w:r>
    </w:p>
  </w:footnote>
  <w:footnote w:id="9">
    <w:p w:rsidR="00D56FFF" w:rsidRDefault="00D56FFF" w:rsidP="000E7277">
      <w:pPr>
        <w:pStyle w:val="FootnoteText"/>
      </w:pPr>
      <w:r>
        <w:rPr>
          <w:rStyle w:val="FootnoteReference"/>
        </w:rPr>
        <w:footnoteRef/>
      </w:r>
      <w:r>
        <w:t xml:space="preserve"> </w:t>
      </w:r>
      <w:r w:rsidRPr="003119F7">
        <w:rPr>
          <w:vertAlign w:val="superscript"/>
        </w:rPr>
        <w:t>(</w:t>
      </w:r>
      <w:proofErr w:type="spellStart"/>
      <w:r w:rsidRPr="003119F7">
        <w:rPr>
          <w:vertAlign w:val="superscript"/>
        </w:rPr>
        <w:t>i</w:t>
      </w:r>
      <w:proofErr w:type="spellEnd"/>
      <w:r w:rsidRPr="003119F7">
        <w:rPr>
          <w:vertAlign w:val="superscript"/>
        </w:rPr>
        <w:t>) / 12</w:t>
      </w:r>
    </w:p>
  </w:footnote>
  <w:footnote w:id="10">
    <w:p w:rsidR="00D56FFF" w:rsidRPr="00C1701A" w:rsidRDefault="00D56FFF" w:rsidP="000E7277">
      <w:pPr>
        <w:rPr>
          <w:rStyle w:val="FootnoteReference"/>
        </w:rPr>
      </w:pPr>
      <w:r w:rsidRPr="00C1701A">
        <w:rPr>
          <w:rStyle w:val="FootnoteReference"/>
        </w:rPr>
        <w:footnoteRef/>
      </w:r>
      <w:r w:rsidRPr="00C1701A">
        <w:rPr>
          <w:rStyle w:val="FootnoteReference"/>
        </w:rPr>
        <w:t xml:space="preserve"> Source: Extract from SVAA</w:t>
      </w:r>
    </w:p>
  </w:footnote>
  <w:footnote w:id="11">
    <w:p w:rsidR="00D56FFF" w:rsidRPr="00C1701A" w:rsidRDefault="00D56FFF" w:rsidP="000E7277">
      <w:pPr>
        <w:rPr>
          <w:rStyle w:val="FootnoteReference"/>
        </w:rPr>
      </w:pPr>
      <w:r w:rsidRPr="00C1701A">
        <w:rPr>
          <w:rStyle w:val="FootnoteReference"/>
        </w:rPr>
        <w:footnoteRef/>
      </w:r>
      <w:r w:rsidRPr="00C1701A">
        <w:rPr>
          <w:rStyle w:val="FootnoteReference"/>
        </w:rPr>
        <w:t xml:space="preserve"> (j) / (k)</w:t>
      </w:r>
    </w:p>
  </w:footnote>
  <w:footnote w:id="12">
    <w:p w:rsidR="00D56FFF" w:rsidRPr="00C1701A" w:rsidRDefault="00D56FFF" w:rsidP="000E7277">
      <w:pPr>
        <w:rPr>
          <w:rStyle w:val="FootnoteReference"/>
        </w:rPr>
      </w:pPr>
      <w:r w:rsidRPr="00C1701A">
        <w:rPr>
          <w:rStyle w:val="FootnoteReference"/>
        </w:rPr>
        <w:footnoteRef/>
      </w:r>
      <w:r w:rsidRPr="00C1701A">
        <w:rPr>
          <w:rStyle w:val="FootnoteReference"/>
        </w:rPr>
        <w:t xml:space="preserve"> (j) / (e)</w:t>
      </w:r>
    </w:p>
  </w:footnote>
  <w:footnote w:id="13">
    <w:p w:rsidR="00D56FFF" w:rsidRPr="00486BD9" w:rsidRDefault="00D56FFF" w:rsidP="000E7277">
      <w:pPr>
        <w:rPr>
          <w:vertAlign w:val="superscript"/>
        </w:rPr>
      </w:pPr>
      <w:r w:rsidRPr="00C1701A">
        <w:rPr>
          <w:rStyle w:val="FootnoteReference"/>
        </w:rPr>
        <w:footnoteRef/>
      </w:r>
      <w:r w:rsidRPr="00486BD9">
        <w:rPr>
          <w:vertAlign w:val="superscript"/>
        </w:rPr>
        <w:t xml:space="preserve"> </w:t>
      </w:r>
      <w:r w:rsidRPr="00C1701A">
        <w:rPr>
          <w:rFonts w:ascii="Calibri" w:hAnsi="Calibri" w:cs="Calibri"/>
          <w:color w:val="000000"/>
          <w:sz w:val="22"/>
          <w:szCs w:val="22"/>
          <w:vertAlign w:val="superscript"/>
        </w:rPr>
        <w:t>(a) x 0.5</w:t>
      </w:r>
    </w:p>
  </w:footnote>
  <w:footnote w:id="14">
    <w:p w:rsidR="00D56FFF" w:rsidRPr="00486BD9" w:rsidRDefault="00D56FFF" w:rsidP="000E7277">
      <w:pPr>
        <w:rPr>
          <w:vertAlign w:val="superscript"/>
        </w:rPr>
      </w:pPr>
      <w:r w:rsidRPr="00C1701A">
        <w:rPr>
          <w:rStyle w:val="FootnoteReference"/>
        </w:rPr>
        <w:footnoteRef/>
      </w:r>
      <w:r w:rsidRPr="00486BD9">
        <w:rPr>
          <w:vertAlign w:val="superscript"/>
        </w:rPr>
        <w:t xml:space="preserve"> </w:t>
      </w:r>
      <w:r w:rsidRPr="00C1701A">
        <w:rPr>
          <w:rFonts w:ascii="Calibri" w:hAnsi="Calibri" w:cs="Calibri"/>
          <w:color w:val="000000"/>
          <w:sz w:val="22"/>
          <w:szCs w:val="22"/>
          <w:vertAlign w:val="superscript"/>
        </w:rPr>
        <w:t>(d) + (e)</w:t>
      </w:r>
    </w:p>
  </w:footnote>
  <w:footnote w:id="15">
    <w:p w:rsidR="00D56FFF" w:rsidRPr="00486BD9" w:rsidRDefault="00D56FFF" w:rsidP="000E7277">
      <w:pPr>
        <w:rPr>
          <w:vertAlign w:val="superscript"/>
        </w:rPr>
      </w:pPr>
      <w:r w:rsidRPr="00C1701A">
        <w:rPr>
          <w:rStyle w:val="FootnoteReference"/>
        </w:rPr>
        <w:footnoteRef/>
      </w:r>
      <w:r w:rsidRPr="00486BD9">
        <w:rPr>
          <w:vertAlign w:val="superscript"/>
        </w:rPr>
        <w:t xml:space="preserve"> </w:t>
      </w:r>
      <w:r w:rsidRPr="00C1701A">
        <w:rPr>
          <w:rFonts w:ascii="Calibri" w:hAnsi="Calibri" w:cs="Calibri"/>
          <w:b/>
          <w:bCs/>
          <w:color w:val="000000"/>
          <w:sz w:val="22"/>
          <w:szCs w:val="22"/>
          <w:vertAlign w:val="superscript"/>
        </w:rPr>
        <w:t>( (b) / (f) ) / 12</w:t>
      </w:r>
    </w:p>
  </w:footnote>
  <w:footnote w:id="16">
    <w:p w:rsidR="00D56FFF" w:rsidRPr="00486BD9" w:rsidRDefault="00D56FFF" w:rsidP="000E7277">
      <w:pPr>
        <w:rPr>
          <w:vertAlign w:val="superscript"/>
        </w:rPr>
      </w:pPr>
      <w:r w:rsidRPr="00C1701A">
        <w:rPr>
          <w:rStyle w:val="FootnoteReference"/>
        </w:rPr>
        <w:footnoteRef/>
      </w:r>
      <w:r w:rsidRPr="00486BD9">
        <w:rPr>
          <w:vertAlign w:val="superscript"/>
        </w:rPr>
        <w:t xml:space="preserve"> </w:t>
      </w:r>
      <w:r w:rsidRPr="00C1701A">
        <w:rPr>
          <w:rFonts w:ascii="Calibri" w:hAnsi="Calibri" w:cs="Calibri"/>
          <w:color w:val="000000"/>
          <w:sz w:val="22"/>
          <w:szCs w:val="22"/>
          <w:vertAlign w:val="superscript"/>
        </w:rPr>
        <w:t>( (d) x (g) ) x 12</w:t>
      </w:r>
    </w:p>
  </w:footnote>
  <w:footnote w:id="17">
    <w:p w:rsidR="00D56FFF" w:rsidRPr="00486BD9" w:rsidRDefault="00D56FFF" w:rsidP="000E7277">
      <w:pPr>
        <w:rPr>
          <w:rFonts w:ascii="Calibri" w:hAnsi="Calibri" w:cs="Calibri"/>
          <w:color w:val="000000"/>
          <w:sz w:val="22"/>
          <w:szCs w:val="22"/>
          <w:vertAlign w:val="superscript"/>
        </w:rPr>
      </w:pPr>
      <w:r w:rsidRPr="00C1701A">
        <w:rPr>
          <w:rStyle w:val="FootnoteReference"/>
        </w:rPr>
        <w:footnoteRef/>
      </w:r>
      <w:r w:rsidRPr="00486BD9">
        <w:rPr>
          <w:vertAlign w:val="superscript"/>
        </w:rPr>
        <w:t xml:space="preserve"> </w:t>
      </w:r>
      <w:r w:rsidRPr="00C1701A">
        <w:rPr>
          <w:rFonts w:ascii="Calibri" w:hAnsi="Calibri" w:cs="Calibri"/>
          <w:color w:val="000000"/>
          <w:sz w:val="22"/>
          <w:szCs w:val="22"/>
          <w:vertAlign w:val="superscript"/>
        </w:rPr>
        <w:t>( (e) x (g) ) x 12</w:t>
      </w:r>
    </w:p>
    <w:p w:rsidR="00D56FFF" w:rsidRDefault="00D56FFF" w:rsidP="000E7277">
      <w:pPr>
        <w:pStyle w:val="FootnoteText"/>
      </w:pPr>
    </w:p>
  </w:footnote>
  <w:footnote w:id="18">
    <w:p w:rsidR="00D56FFF" w:rsidRPr="0022351D" w:rsidRDefault="00D56FFF" w:rsidP="00FD0335">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26038C">
    <w:pPr>
      <w:pStyle w:val="BodyText"/>
    </w:pPr>
    <w:r>
      <w:rPr>
        <w:noProof/>
      </w:rPr>
      <mc:AlternateContent>
        <mc:Choice Requires="wps">
          <w:drawing>
            <wp:anchor distT="0" distB="0" distL="114300" distR="114300" simplePos="0" relativeHeight="251665920" behindDoc="0" locked="0" layoutInCell="1" allowOverlap="1" wp14:anchorId="673EBD57" wp14:editId="6CF29416">
              <wp:simplePos x="0" y="0"/>
              <wp:positionH relativeFrom="column">
                <wp:posOffset>-447675</wp:posOffset>
              </wp:positionH>
              <wp:positionV relativeFrom="paragraph">
                <wp:posOffset>-204470</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D56FFF" w:rsidRPr="00F634F9" w:rsidRDefault="00D56FFF" w:rsidP="0026038C">
                          <w:pPr>
                            <w:spacing w:line="240" w:lineRule="auto"/>
                            <w:rPr>
                              <w:sz w:val="48"/>
                              <w:szCs w:val="48"/>
                            </w:rPr>
                          </w:pPr>
                          <w:r>
                            <w:rPr>
                              <w:sz w:val="48"/>
                              <w:szCs w:val="48"/>
                            </w:rPr>
                            <w:t>Final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34" o:spid="_x0000_s1031" style="position:absolute;margin-left:-35.25pt;margin-top:-16.1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D56FFF" w:rsidRPr="00F634F9" w:rsidRDefault="00D56FFF" w:rsidP="0026038C">
                    <w:pPr>
                      <w:spacing w:line="240" w:lineRule="auto"/>
                      <w:rPr>
                        <w:sz w:val="48"/>
                        <w:szCs w:val="48"/>
                      </w:rPr>
                    </w:pPr>
                    <w:r>
                      <w:rPr>
                        <w:sz w:val="48"/>
                        <w:szCs w:val="48"/>
                      </w:rPr>
                      <w:t>Final Modification Report</w:t>
                    </w:r>
                  </w:p>
                </w:txbxContent>
              </v:textbox>
            </v:shape>
          </w:pict>
        </mc:Fallback>
      </mc:AlternateContent>
    </w:r>
  </w:p>
  <w:p w:rsidR="00D56FFF" w:rsidRDefault="00D56FFF" w:rsidP="0026038C">
    <w:pPr>
      <w:pStyle w:val="BodyText"/>
    </w:pPr>
    <w:r>
      <w:rPr>
        <w:noProof/>
      </w:rPr>
      <mc:AlternateContent>
        <mc:Choice Requires="wpg">
          <w:drawing>
            <wp:anchor distT="0" distB="0" distL="114300" distR="114300" simplePos="0" relativeHeight="251670016" behindDoc="0" locked="0" layoutInCell="1" allowOverlap="1" wp14:anchorId="3127F5E5" wp14:editId="65112D3A">
              <wp:simplePos x="0" y="0"/>
              <wp:positionH relativeFrom="column">
                <wp:posOffset>5292725</wp:posOffset>
              </wp:positionH>
              <wp:positionV relativeFrom="paragraph">
                <wp:posOffset>864235</wp:posOffset>
              </wp:positionV>
              <wp:extent cx="1332000" cy="2088000"/>
              <wp:effectExtent l="0" t="0" r="20955" b="26670"/>
              <wp:wrapNone/>
              <wp:docPr id="10" name="Group 10"/>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3" name="Round Diagonal Corner Rectangle 13"/>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D56FFF" w:rsidRPr="000E135B" w:rsidRDefault="00D56FFF" w:rsidP="008A0BE7">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D56FFF" w:rsidRPr="00085DCE" w:rsidRDefault="00D56FFF" w:rsidP="008A0BE7">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D56FFF" w:rsidRPr="00085DCE" w:rsidRDefault="00D56FFF" w:rsidP="008A0BE7">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D56FFF" w:rsidRPr="00085DCE" w:rsidRDefault="00D56FFF" w:rsidP="008A0BE7">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D56FFF" w:rsidRPr="00076613" w:rsidRDefault="00D56FFF" w:rsidP="008A0BE7">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D56FFF" w:rsidRPr="00076613" w:rsidRDefault="00D56FFF" w:rsidP="008A0BE7">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0" o:spid="_x0000_s1032" style="position:absolute;margin-left:416.75pt;margin-top:68.05pt;width:104.9pt;height:164.4pt;z-index:251670016;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">
              <v:shape id="Round Diagonal Corner Rectangle 13" o:spid="_x0000_s1033"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rI8IA&#10;AADbAAAADwAAAGRycy9kb3ducmV2LnhtbERPTWvCQBC9C/0PyxR6000tVEmzkSotmJtGoR6n2WkS&#10;zM6m2W2S/ntXELzN431OshpNI3rqXG1ZwfMsAkFcWF1zqeB4+JwuQTiPrLGxTAr+ycEqfZgkGGs7&#10;8J763JcihLCLUUHlfRtL6YqKDLqZbYkD92M7gz7ArpS6wyGEm0bOo+hVGqw5NFTY0qai4pz/GQX9&#10;IctPp+P3x3q9OGe/u8zy17BV6ulxfH8D4Wn0d/HNvdVh/gtcfwkHyPQ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1qsjwgAAANsAAAAPAAAAAAAAAAAAAAAAAJgCAABkcnMvZG93&#10;bnJldi54bWxQSwUGAAAAAAQABAD1AAAAhwM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D56FFF" w:rsidRPr="000E135B" w:rsidRDefault="00D56FFF" w:rsidP="008A0BE7">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4"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D56FFF" w:rsidRPr="00085DCE" w:rsidRDefault="00D56FFF" w:rsidP="008A0BE7">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5"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D56FFF" w:rsidRPr="00085DCE" w:rsidRDefault="00D56FFF" w:rsidP="008A0BE7">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6"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D56FFF" w:rsidRPr="00085DCE" w:rsidRDefault="00D56FFF" w:rsidP="008A0BE7">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18" o:spid="_x0000_s1037"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I5UsQA&#10;AADbAAAADwAAAGRycy9kb3ducmV2LnhtbESPQW/CMAyF75P2HyJP4jZSdmBTR0CAhkRvrCCNo9d4&#10;bUXjlCa05d/Ph0m72XrP731erEbXqJ66UHs2MJsmoIgLb2suDZyOu+c3UCEiW2w8k4E7BVgtHx8W&#10;mFo/8Cf1eSyVhHBI0UAVY5tqHYqKHIapb4lF+/GdwyhrV2rb4SDhrtEvSTLXDmuWhgpb2lZUXPKb&#10;M9Afs/x8Pn1/bDavl+x6yDx/DXtjJk/j+h1UpDH+m/+u91bwBVZ+kQH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yOVL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D56FFF" w:rsidRPr="00076613" w:rsidRDefault="00D56FFF" w:rsidP="008A0BE7">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8"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XB8AA&#10;AADbAAAADwAAAGRycy9kb3ducmV2LnhtbERPzYrCMBC+C/sOYRb2IpruHkSrUURY9SCi7j7A0Ixt&#10;sZmUJNr49kYQvM3H9zuzRTSNuJHztWUF38MMBHFhdc2lgv+/38EYhA/IGhvLpOBOHhbzj94Mc207&#10;PtLtFEqRQtjnqKAKoc2l9EVFBv3QtsSJO1tnMCToSqkddincNPIny0bSYM2pocKWVhUVl9PVKDhs&#10;zGbdp7hz+0Nn48gud6tjqdTXZ1xOQQSK4S1+ubc6zZ/A85d0gJ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DXB8AAAADbAAAADwAAAAAAAAAAAAAAAACYAgAAZHJzL2Rvd25y&#10;ZXYueG1sUEsFBgAAAAAEAAQA9QAAAIUD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D56FFF" w:rsidRPr="00076613" w:rsidRDefault="00D56FFF" w:rsidP="008A0BE7">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7968" behindDoc="0" locked="0" layoutInCell="1" allowOverlap="1" wp14:anchorId="5F00FE82" wp14:editId="4430A568">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4C497D">
    <w:pPr>
      <w:pStyle w:val="Header"/>
      <w:tabs>
        <w:tab w:val="clear" w:pos="4153"/>
        <w:tab w:val="clear" w:pos="8306"/>
        <w:tab w:val="left" w:pos="6650"/>
      </w:tabs>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Pr="00580D62" w:rsidRDefault="00D56FFF" w:rsidP="00580D62">
    <w:pPr>
      <w:pStyle w:val="Header"/>
      <w:tabs>
        <w:tab w:val="clear" w:pos="4153"/>
        <w:tab w:val="clear" w:pos="8306"/>
        <w:tab w:val="left" w:pos="6650"/>
      </w:tabs>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Pr="005973AE" w:rsidRDefault="00D56FFF" w:rsidP="008A0BE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DC" w:rsidRPr="005973AE" w:rsidRDefault="008D4BDC" w:rsidP="005973A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Pr="005973AE" w:rsidRDefault="00D56FFF" w:rsidP="005973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4C497D">
    <w:pPr>
      <w:pStyle w:val="Header"/>
      <w:tabs>
        <w:tab w:val="clear" w:pos="4153"/>
        <w:tab w:val="clear" w:pos="8306"/>
        <w:tab w:val="left" w:pos="665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rsidP="004C497D">
    <w:pPr>
      <w:pStyle w:val="Header"/>
      <w:tabs>
        <w:tab w:val="clear" w:pos="4153"/>
        <w:tab w:val="clear" w:pos="8306"/>
        <w:tab w:val="left" w:pos="6650"/>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FFF" w:rsidRDefault="00D56F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D0FFD"/>
    <w:multiLevelType w:val="hybridMultilevel"/>
    <w:tmpl w:val="2C005FC6"/>
    <w:lvl w:ilvl="0" w:tplc="959A9932">
      <w:start w:val="1"/>
      <w:numFmt w:val="decimal"/>
      <w:pStyle w:val="Heading8"/>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C406D3A"/>
    <w:multiLevelType w:val="hybridMultilevel"/>
    <w:tmpl w:val="09A42D3E"/>
    <w:lvl w:ilvl="0" w:tplc="A4F869E8">
      <w:start w:val="1"/>
      <w:numFmt w:val="bullet"/>
      <w:lvlText w:val=""/>
      <w:lvlJc w:val="left"/>
      <w:pPr>
        <w:ind w:left="720" w:hanging="360"/>
      </w:pPr>
      <w:rPr>
        <w:rFonts w:ascii="Symbol" w:hAnsi="Symbol" w:hint="default"/>
        <w:color w:val="008576"/>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9029C5"/>
    <w:multiLevelType w:val="hybridMultilevel"/>
    <w:tmpl w:val="9080E67C"/>
    <w:lvl w:ilvl="0" w:tplc="CF3E1916">
      <w:start w:val="1"/>
      <w:numFmt w:val="bullet"/>
      <w:lvlText w:val=""/>
      <w:lvlJc w:val="left"/>
      <w:pPr>
        <w:tabs>
          <w:tab w:val="num" w:pos="267"/>
        </w:tabs>
        <w:ind w:left="267" w:hanging="284"/>
      </w:pPr>
      <w:rPr>
        <w:rFonts w:ascii="Symbol" w:hAnsi="Symbol" w:hint="default"/>
        <w:color w:val="008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8B97F5E"/>
    <w:multiLevelType w:val="hybridMultilevel"/>
    <w:tmpl w:val="F06615B4"/>
    <w:lvl w:ilvl="0" w:tplc="0F8A632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A90106A"/>
    <w:multiLevelType w:val="hybridMultilevel"/>
    <w:tmpl w:val="E756747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2">
    <w:nsid w:val="2C2A7447"/>
    <w:multiLevelType w:val="multilevel"/>
    <w:tmpl w:val="78526470"/>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nsid w:val="2C631EC8"/>
    <w:multiLevelType w:val="multilevel"/>
    <w:tmpl w:val="09926E06"/>
    <w:lvl w:ilvl="0">
      <w:start w:val="1"/>
      <w:numFmt w:val="decimal"/>
      <w:lvlText w:val="%1."/>
      <w:lvlJc w:val="left"/>
      <w:pPr>
        <w:ind w:left="360" w:hanging="360"/>
      </w:pPr>
      <w:rPr>
        <w:rFonts w:hint="default"/>
        <w:b/>
        <w:i w:val="0"/>
        <w:color w:val="1F497D" w:themeColor="text2"/>
        <w:sz w:val="24"/>
      </w:rPr>
    </w:lvl>
    <w:lvl w:ilvl="1">
      <w:start w:val="1"/>
      <w:numFmt w:val="decimal"/>
      <w:pStyle w:val="ParagraphList"/>
      <w:lvlText w:val="%1.%2."/>
      <w:lvlJc w:val="left"/>
      <w:pPr>
        <w:ind w:left="567" w:hanging="567"/>
      </w:pPr>
      <w:rPr>
        <w:rFonts w:hint="default"/>
        <w:b w:val="0"/>
        <w:color w:val="000000"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94830AD"/>
    <w:multiLevelType w:val="hybridMultilevel"/>
    <w:tmpl w:val="0974F6AA"/>
    <w:lvl w:ilvl="0" w:tplc="9FDEA298">
      <w:start w:val="1"/>
      <w:numFmt w:val="bullet"/>
      <w:pStyle w:val="ListParagraph"/>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0E025D"/>
    <w:multiLevelType w:val="hybridMultilevel"/>
    <w:tmpl w:val="C30083FC"/>
    <w:lvl w:ilvl="0" w:tplc="BEB83E54">
      <w:start w:val="1"/>
      <w:numFmt w:val="lowerLetter"/>
      <w:lvlText w:val="%1)"/>
      <w:lvlJc w:val="left"/>
      <w:pPr>
        <w:ind w:left="984" w:hanging="360"/>
      </w:pPr>
      <w:rPr>
        <w:rFonts w:hint="default"/>
        <w:b w:val="0"/>
        <w:color w:val="008DB1"/>
      </w:rPr>
    </w:lvl>
    <w:lvl w:ilvl="1" w:tplc="E8B2970A">
      <w:start w:val="1"/>
      <w:numFmt w:val="lowerRoman"/>
      <w:lvlText w:val="%2."/>
      <w:lvlJc w:val="right"/>
      <w:pPr>
        <w:ind w:left="1704" w:hanging="360"/>
      </w:pPr>
      <w:rPr>
        <w:b w:val="0"/>
      </w:r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8">
    <w:nsid w:val="3E225E17"/>
    <w:multiLevelType w:val="multilevel"/>
    <w:tmpl w:val="A28EC53E"/>
    <w:numStyleLink w:val="ListHeadings"/>
  </w:abstractNum>
  <w:abstractNum w:abstractNumId="19">
    <w:nsid w:val="57356768"/>
    <w:multiLevelType w:val="hybridMultilevel"/>
    <w:tmpl w:val="B330E1AE"/>
    <w:lvl w:ilvl="0" w:tplc="9796D8D0">
      <w:start w:val="1"/>
      <w:numFmt w:val="bullet"/>
      <w:lvlText w:val=""/>
      <w:lvlJc w:val="left"/>
      <w:pPr>
        <w:ind w:left="720" w:hanging="360"/>
      </w:pPr>
      <w:rPr>
        <w:rFonts w:ascii="Symbol" w:hAnsi="Symbol" w:hint="default"/>
        <w:color w:val="09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nsid w:val="5E1B7C4A"/>
    <w:multiLevelType w:val="multilevel"/>
    <w:tmpl w:val="6E8C529A"/>
    <w:lvl w:ilvl="0">
      <w:start w:val="1"/>
      <w:numFmt w:val="upperLetter"/>
      <w:pStyle w:val="ListNumber2"/>
      <w:lvlText w:val="%1"/>
      <w:lvlJc w:val="left"/>
      <w:pPr>
        <w:tabs>
          <w:tab w:val="num" w:pos="397"/>
        </w:tabs>
        <w:ind w:left="397" w:hanging="397"/>
      </w:pPr>
      <w:rPr>
        <w:rFonts w:ascii="Tahoma" w:hAnsi="Tahoma" w:hint="default"/>
        <w:b/>
        <w:i w:val="0"/>
        <w:color w:val="F8981D"/>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05C7B3D"/>
    <w:multiLevelType w:val="hybridMultilevel"/>
    <w:tmpl w:val="463AA40E"/>
    <w:lvl w:ilvl="0" w:tplc="CF3E1916">
      <w:start w:val="1"/>
      <w:numFmt w:val="bullet"/>
      <w:lvlText w:val=""/>
      <w:lvlJc w:val="left"/>
      <w:pPr>
        <w:tabs>
          <w:tab w:val="num" w:pos="267"/>
        </w:tabs>
        <w:ind w:left="267" w:hanging="284"/>
      </w:pPr>
      <w:rPr>
        <w:rFonts w:ascii="Symbol" w:hAnsi="Symbol" w:hint="default"/>
        <w:color w:val="008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976321F"/>
    <w:multiLevelType w:val="hybridMultilevel"/>
    <w:tmpl w:val="D284B31E"/>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6A86190"/>
    <w:multiLevelType w:val="multilevel"/>
    <w:tmpl w:val="4D3A3044"/>
    <w:lvl w:ilvl="0">
      <w:start w:val="1"/>
      <w:numFmt w:val="decimal"/>
      <w:lvlText w:val="%1."/>
      <w:lvlJc w:val="left"/>
      <w:pPr>
        <w:tabs>
          <w:tab w:val="num" w:pos="360"/>
        </w:tabs>
        <w:ind w:left="360" w:hanging="360"/>
      </w:pPr>
      <w:rPr>
        <w:rFonts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14"/>
  </w:num>
  <w:num w:numId="2">
    <w:abstractNumId w:val="5"/>
  </w:num>
  <w:num w:numId="3">
    <w:abstractNumId w:val="24"/>
  </w:num>
  <w:num w:numId="4">
    <w:abstractNumId w:val="26"/>
  </w:num>
  <w:num w:numId="5">
    <w:abstractNumId w:val="25"/>
  </w:num>
  <w:num w:numId="6">
    <w:abstractNumId w:val="15"/>
  </w:num>
  <w:num w:numId="7">
    <w:abstractNumId w:val="7"/>
  </w:num>
  <w:num w:numId="8">
    <w:abstractNumId w:val="22"/>
  </w:num>
  <w:num w:numId="9">
    <w:abstractNumId w:val="20"/>
  </w:num>
  <w:num w:numId="10">
    <w:abstractNumId w:val="3"/>
  </w:num>
  <w:num w:numId="11">
    <w:abstractNumId w:val="2"/>
  </w:num>
  <w:num w:numId="12">
    <w:abstractNumId w:val="1"/>
  </w:num>
  <w:num w:numId="13">
    <w:abstractNumId w:val="21"/>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0"/>
  </w:num>
  <w:num w:numId="38">
    <w:abstractNumId w:val="27"/>
  </w:num>
  <w:num w:numId="39">
    <w:abstractNumId w:val="6"/>
  </w:num>
  <w:num w:numId="40">
    <w:abstractNumId w:val="16"/>
  </w:num>
  <w:num w:numId="41">
    <w:abstractNumId w:val="0"/>
  </w:num>
  <w:num w:numId="42">
    <w:abstractNumId w:val="13"/>
  </w:num>
  <w:num w:numId="43">
    <w:abstractNumId w:val="11"/>
  </w:num>
  <w:num w:numId="44">
    <w:abstractNumId w:val="8"/>
  </w:num>
  <w:num w:numId="45">
    <w:abstractNumId w:val="19"/>
  </w:num>
  <w:num w:numId="46">
    <w:abstractNumId w:val="4"/>
  </w:num>
  <w:num w:numId="47">
    <w:abstractNumId w:val="18"/>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color w:val="auto"/>
        </w:rPr>
      </w:lvl>
    </w:lvlOverride>
    <w:lvlOverride w:ilvl="2">
      <w:lvl w:ilvl="2">
        <w:start w:val="1"/>
        <w:numFmt w:val="lowerLetter"/>
        <w:pStyle w:val="Numberbodytext2"/>
        <w:lvlText w:val="%3)"/>
        <w:lvlJc w:val="left"/>
        <w:pPr>
          <w:ind w:left="624" w:hanging="624"/>
        </w:pPr>
        <w:rPr>
          <w:rFonts w:ascii="Tahoma" w:eastAsia="Times New Roman" w:hAnsi="Tahoma" w:cs="Tahoma"/>
          <w:color w:val="008DB1"/>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48">
    <w:abstractNumId w:val="17"/>
  </w:num>
  <w:num w:numId="49">
    <w:abstractNumId w:val="18"/>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color w:val="auto"/>
        </w:rPr>
      </w:lvl>
    </w:lvlOverride>
    <w:lvlOverride w:ilvl="2">
      <w:lvl w:ilvl="2">
        <w:start w:val="1"/>
        <w:numFmt w:val="lowerLetter"/>
        <w:pStyle w:val="Numberbodytext2"/>
        <w:lvlText w:val="%3)"/>
        <w:lvlJc w:val="left"/>
        <w:pPr>
          <w:ind w:left="624" w:hanging="624"/>
        </w:pPr>
        <w:rPr>
          <w:rFonts w:ascii="Tahoma" w:eastAsia="Times New Roman" w:hAnsi="Tahoma" w:cs="Tahoma"/>
          <w:color w:val="008DB1"/>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f8981d,#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AE8"/>
    <w:rsid w:val="00005CBA"/>
    <w:rsid w:val="0001303D"/>
    <w:rsid w:val="00016A1B"/>
    <w:rsid w:val="00016D3D"/>
    <w:rsid w:val="000205A9"/>
    <w:rsid w:val="00032317"/>
    <w:rsid w:val="00033152"/>
    <w:rsid w:val="000423EB"/>
    <w:rsid w:val="000464BE"/>
    <w:rsid w:val="000559F7"/>
    <w:rsid w:val="00057438"/>
    <w:rsid w:val="00063A77"/>
    <w:rsid w:val="0007158B"/>
    <w:rsid w:val="0007172D"/>
    <w:rsid w:val="00071C8C"/>
    <w:rsid w:val="00071E04"/>
    <w:rsid w:val="000A2B29"/>
    <w:rsid w:val="000A43DF"/>
    <w:rsid w:val="000B4A62"/>
    <w:rsid w:val="000B4B15"/>
    <w:rsid w:val="000B7267"/>
    <w:rsid w:val="000C0CF8"/>
    <w:rsid w:val="000C62BC"/>
    <w:rsid w:val="000E7277"/>
    <w:rsid w:val="000F3EF1"/>
    <w:rsid w:val="000F75D6"/>
    <w:rsid w:val="001019C4"/>
    <w:rsid w:val="00105968"/>
    <w:rsid w:val="00113D00"/>
    <w:rsid w:val="00131B70"/>
    <w:rsid w:val="00134323"/>
    <w:rsid w:val="00137799"/>
    <w:rsid w:val="0014461A"/>
    <w:rsid w:val="00145ABD"/>
    <w:rsid w:val="00152AD2"/>
    <w:rsid w:val="0016656E"/>
    <w:rsid w:val="0019610B"/>
    <w:rsid w:val="001964CA"/>
    <w:rsid w:val="001A12C2"/>
    <w:rsid w:val="001A1DA2"/>
    <w:rsid w:val="001A5A15"/>
    <w:rsid w:val="001B1B48"/>
    <w:rsid w:val="001C7EAB"/>
    <w:rsid w:val="001D18C0"/>
    <w:rsid w:val="001F0901"/>
    <w:rsid w:val="001F2A7A"/>
    <w:rsid w:val="001F2B0E"/>
    <w:rsid w:val="002072E1"/>
    <w:rsid w:val="0021347A"/>
    <w:rsid w:val="00215A3F"/>
    <w:rsid w:val="0022429A"/>
    <w:rsid w:val="002343EB"/>
    <w:rsid w:val="002348F5"/>
    <w:rsid w:val="0024445E"/>
    <w:rsid w:val="00245A9D"/>
    <w:rsid w:val="00250A17"/>
    <w:rsid w:val="00252A1C"/>
    <w:rsid w:val="00252A3A"/>
    <w:rsid w:val="0026038C"/>
    <w:rsid w:val="00266CCE"/>
    <w:rsid w:val="00272423"/>
    <w:rsid w:val="00275025"/>
    <w:rsid w:val="002800C7"/>
    <w:rsid w:val="00290E6B"/>
    <w:rsid w:val="00293E7A"/>
    <w:rsid w:val="00294F4F"/>
    <w:rsid w:val="002A0F08"/>
    <w:rsid w:val="002A335A"/>
    <w:rsid w:val="002B2196"/>
    <w:rsid w:val="002B41BE"/>
    <w:rsid w:val="002B67B1"/>
    <w:rsid w:val="002B6C09"/>
    <w:rsid w:val="002F7E78"/>
    <w:rsid w:val="00310EF8"/>
    <w:rsid w:val="00322F49"/>
    <w:rsid w:val="003347F8"/>
    <w:rsid w:val="003410CE"/>
    <w:rsid w:val="003513DC"/>
    <w:rsid w:val="00352608"/>
    <w:rsid w:val="0036028C"/>
    <w:rsid w:val="00367172"/>
    <w:rsid w:val="00367360"/>
    <w:rsid w:val="0037446A"/>
    <w:rsid w:val="00383AAD"/>
    <w:rsid w:val="00390AC9"/>
    <w:rsid w:val="003947B4"/>
    <w:rsid w:val="0039637C"/>
    <w:rsid w:val="003A10A8"/>
    <w:rsid w:val="003A6E62"/>
    <w:rsid w:val="003B267D"/>
    <w:rsid w:val="003B4966"/>
    <w:rsid w:val="003C1A38"/>
    <w:rsid w:val="003C7070"/>
    <w:rsid w:val="003F56B9"/>
    <w:rsid w:val="003F619C"/>
    <w:rsid w:val="00401A92"/>
    <w:rsid w:val="0041643F"/>
    <w:rsid w:val="00416680"/>
    <w:rsid w:val="004174C7"/>
    <w:rsid w:val="00422756"/>
    <w:rsid w:val="00425C07"/>
    <w:rsid w:val="00433C94"/>
    <w:rsid w:val="00442AA8"/>
    <w:rsid w:val="004436C5"/>
    <w:rsid w:val="00445062"/>
    <w:rsid w:val="00457C6C"/>
    <w:rsid w:val="00480B58"/>
    <w:rsid w:val="00485FCF"/>
    <w:rsid w:val="004861C2"/>
    <w:rsid w:val="00490754"/>
    <w:rsid w:val="00496953"/>
    <w:rsid w:val="004A41A5"/>
    <w:rsid w:val="004A4C64"/>
    <w:rsid w:val="004B7073"/>
    <w:rsid w:val="004C497D"/>
    <w:rsid w:val="004C5609"/>
    <w:rsid w:val="004D3FDC"/>
    <w:rsid w:val="004D4A2A"/>
    <w:rsid w:val="004E3643"/>
    <w:rsid w:val="004E63C2"/>
    <w:rsid w:val="00503439"/>
    <w:rsid w:val="00505329"/>
    <w:rsid w:val="00512992"/>
    <w:rsid w:val="005259B4"/>
    <w:rsid w:val="00526E7D"/>
    <w:rsid w:val="0052788F"/>
    <w:rsid w:val="00527F58"/>
    <w:rsid w:val="00530304"/>
    <w:rsid w:val="0053337C"/>
    <w:rsid w:val="00547D21"/>
    <w:rsid w:val="0057218C"/>
    <w:rsid w:val="00580D62"/>
    <w:rsid w:val="005973AE"/>
    <w:rsid w:val="005A17D4"/>
    <w:rsid w:val="005A349E"/>
    <w:rsid w:val="005B1238"/>
    <w:rsid w:val="005C4FCE"/>
    <w:rsid w:val="005C79B7"/>
    <w:rsid w:val="005D354D"/>
    <w:rsid w:val="005D43A6"/>
    <w:rsid w:val="005D66D5"/>
    <w:rsid w:val="005E3B76"/>
    <w:rsid w:val="00602133"/>
    <w:rsid w:val="006060C3"/>
    <w:rsid w:val="00613F51"/>
    <w:rsid w:val="0061575B"/>
    <w:rsid w:val="006230BD"/>
    <w:rsid w:val="00627C95"/>
    <w:rsid w:val="00631E6C"/>
    <w:rsid w:val="00633753"/>
    <w:rsid w:val="00636543"/>
    <w:rsid w:val="00636D79"/>
    <w:rsid w:val="00644121"/>
    <w:rsid w:val="00644CD3"/>
    <w:rsid w:val="00645BBD"/>
    <w:rsid w:val="00652780"/>
    <w:rsid w:val="00661737"/>
    <w:rsid w:val="00684238"/>
    <w:rsid w:val="00684B8F"/>
    <w:rsid w:val="006A2106"/>
    <w:rsid w:val="006B26F0"/>
    <w:rsid w:val="006C2760"/>
    <w:rsid w:val="006D5AA5"/>
    <w:rsid w:val="006E5180"/>
    <w:rsid w:val="006F6792"/>
    <w:rsid w:val="00702140"/>
    <w:rsid w:val="00720926"/>
    <w:rsid w:val="00720A77"/>
    <w:rsid w:val="00723178"/>
    <w:rsid w:val="00743131"/>
    <w:rsid w:val="00743410"/>
    <w:rsid w:val="00745EF0"/>
    <w:rsid w:val="00756B57"/>
    <w:rsid w:val="0076666D"/>
    <w:rsid w:val="00766AE9"/>
    <w:rsid w:val="00767D01"/>
    <w:rsid w:val="00773FB7"/>
    <w:rsid w:val="00780EDE"/>
    <w:rsid w:val="00785522"/>
    <w:rsid w:val="00796AD6"/>
    <w:rsid w:val="007A2696"/>
    <w:rsid w:val="007A5E74"/>
    <w:rsid w:val="007B2BBD"/>
    <w:rsid w:val="007B4449"/>
    <w:rsid w:val="007B7F8A"/>
    <w:rsid w:val="007C33C5"/>
    <w:rsid w:val="007D0D66"/>
    <w:rsid w:val="007D4C0D"/>
    <w:rsid w:val="007E2EA9"/>
    <w:rsid w:val="007E5453"/>
    <w:rsid w:val="007F4598"/>
    <w:rsid w:val="007F67D7"/>
    <w:rsid w:val="00800351"/>
    <w:rsid w:val="00801A70"/>
    <w:rsid w:val="0081316A"/>
    <w:rsid w:val="00822567"/>
    <w:rsid w:val="008271D4"/>
    <w:rsid w:val="00842B01"/>
    <w:rsid w:val="00842EAB"/>
    <w:rsid w:val="00843EA5"/>
    <w:rsid w:val="00857E0C"/>
    <w:rsid w:val="00867C0D"/>
    <w:rsid w:val="008709E1"/>
    <w:rsid w:val="00871D49"/>
    <w:rsid w:val="00872B54"/>
    <w:rsid w:val="00880570"/>
    <w:rsid w:val="00880BD3"/>
    <w:rsid w:val="008A0BE7"/>
    <w:rsid w:val="008A2B89"/>
    <w:rsid w:val="008B69BD"/>
    <w:rsid w:val="008C34D6"/>
    <w:rsid w:val="008C7FC9"/>
    <w:rsid w:val="008D255C"/>
    <w:rsid w:val="008D2F5F"/>
    <w:rsid w:val="008D3F6D"/>
    <w:rsid w:val="008D4BDC"/>
    <w:rsid w:val="008D5619"/>
    <w:rsid w:val="008D7EE6"/>
    <w:rsid w:val="008E5860"/>
    <w:rsid w:val="008E6AE8"/>
    <w:rsid w:val="008F65A0"/>
    <w:rsid w:val="008F6BED"/>
    <w:rsid w:val="00900242"/>
    <w:rsid w:val="00900E27"/>
    <w:rsid w:val="00902AF0"/>
    <w:rsid w:val="00915299"/>
    <w:rsid w:val="0091717F"/>
    <w:rsid w:val="00920B58"/>
    <w:rsid w:val="00953570"/>
    <w:rsid w:val="009545CA"/>
    <w:rsid w:val="00963F4B"/>
    <w:rsid w:val="0096737C"/>
    <w:rsid w:val="00970B0C"/>
    <w:rsid w:val="00983669"/>
    <w:rsid w:val="00987103"/>
    <w:rsid w:val="009A0AA2"/>
    <w:rsid w:val="009A3CBD"/>
    <w:rsid w:val="009A745E"/>
    <w:rsid w:val="009C3337"/>
    <w:rsid w:val="009C48F3"/>
    <w:rsid w:val="009C66DE"/>
    <w:rsid w:val="009C7F6C"/>
    <w:rsid w:val="009D1C3D"/>
    <w:rsid w:val="009D452F"/>
    <w:rsid w:val="009E374B"/>
    <w:rsid w:val="009E601F"/>
    <w:rsid w:val="009E7663"/>
    <w:rsid w:val="00A010B5"/>
    <w:rsid w:val="00A017A0"/>
    <w:rsid w:val="00A02E99"/>
    <w:rsid w:val="00A031C3"/>
    <w:rsid w:val="00A0662E"/>
    <w:rsid w:val="00A10CFF"/>
    <w:rsid w:val="00A13842"/>
    <w:rsid w:val="00A14A66"/>
    <w:rsid w:val="00A178F7"/>
    <w:rsid w:val="00A26117"/>
    <w:rsid w:val="00A373D1"/>
    <w:rsid w:val="00A562FE"/>
    <w:rsid w:val="00A82B0D"/>
    <w:rsid w:val="00A85711"/>
    <w:rsid w:val="00A96BFF"/>
    <w:rsid w:val="00AA0EE9"/>
    <w:rsid w:val="00AA1900"/>
    <w:rsid w:val="00AA2EB8"/>
    <w:rsid w:val="00AB391E"/>
    <w:rsid w:val="00AC1B8F"/>
    <w:rsid w:val="00AD51CB"/>
    <w:rsid w:val="00AE5701"/>
    <w:rsid w:val="00AE71FA"/>
    <w:rsid w:val="00AF3C1A"/>
    <w:rsid w:val="00AF4485"/>
    <w:rsid w:val="00B02796"/>
    <w:rsid w:val="00B313BB"/>
    <w:rsid w:val="00B33681"/>
    <w:rsid w:val="00B40E02"/>
    <w:rsid w:val="00B42EF0"/>
    <w:rsid w:val="00B534A3"/>
    <w:rsid w:val="00B66FDB"/>
    <w:rsid w:val="00B74487"/>
    <w:rsid w:val="00B76CF9"/>
    <w:rsid w:val="00B7784F"/>
    <w:rsid w:val="00B77ABA"/>
    <w:rsid w:val="00B8285E"/>
    <w:rsid w:val="00B83F02"/>
    <w:rsid w:val="00B84533"/>
    <w:rsid w:val="00B876BA"/>
    <w:rsid w:val="00B87CA4"/>
    <w:rsid w:val="00B965FB"/>
    <w:rsid w:val="00BA1011"/>
    <w:rsid w:val="00BA5D14"/>
    <w:rsid w:val="00BB3774"/>
    <w:rsid w:val="00BC3085"/>
    <w:rsid w:val="00BD0550"/>
    <w:rsid w:val="00BD66DA"/>
    <w:rsid w:val="00BE2F01"/>
    <w:rsid w:val="00BE415D"/>
    <w:rsid w:val="00BE481F"/>
    <w:rsid w:val="00BF704D"/>
    <w:rsid w:val="00C064DE"/>
    <w:rsid w:val="00C13F5B"/>
    <w:rsid w:val="00C37B21"/>
    <w:rsid w:val="00C51964"/>
    <w:rsid w:val="00C5467A"/>
    <w:rsid w:val="00C76825"/>
    <w:rsid w:val="00C91324"/>
    <w:rsid w:val="00CC05F4"/>
    <w:rsid w:val="00CD1936"/>
    <w:rsid w:val="00CD66BB"/>
    <w:rsid w:val="00CE0F24"/>
    <w:rsid w:val="00CE5B99"/>
    <w:rsid w:val="00CF28C5"/>
    <w:rsid w:val="00D00676"/>
    <w:rsid w:val="00D07707"/>
    <w:rsid w:val="00D2198E"/>
    <w:rsid w:val="00D231DD"/>
    <w:rsid w:val="00D26E45"/>
    <w:rsid w:val="00D27676"/>
    <w:rsid w:val="00D41301"/>
    <w:rsid w:val="00D447C5"/>
    <w:rsid w:val="00D45E4C"/>
    <w:rsid w:val="00D4770A"/>
    <w:rsid w:val="00D47AA7"/>
    <w:rsid w:val="00D56FFF"/>
    <w:rsid w:val="00D63110"/>
    <w:rsid w:val="00D673C4"/>
    <w:rsid w:val="00D7255C"/>
    <w:rsid w:val="00D73BB7"/>
    <w:rsid w:val="00D77F75"/>
    <w:rsid w:val="00D95EDD"/>
    <w:rsid w:val="00DA7DE6"/>
    <w:rsid w:val="00DB1916"/>
    <w:rsid w:val="00DB536D"/>
    <w:rsid w:val="00DB6558"/>
    <w:rsid w:val="00DC7A2D"/>
    <w:rsid w:val="00DD76A3"/>
    <w:rsid w:val="00DE3C19"/>
    <w:rsid w:val="00DE4228"/>
    <w:rsid w:val="00DE6F33"/>
    <w:rsid w:val="00DE7970"/>
    <w:rsid w:val="00DF4B47"/>
    <w:rsid w:val="00E0196B"/>
    <w:rsid w:val="00E0777C"/>
    <w:rsid w:val="00E10DA3"/>
    <w:rsid w:val="00E13CCD"/>
    <w:rsid w:val="00E25E51"/>
    <w:rsid w:val="00E31BD9"/>
    <w:rsid w:val="00E346F8"/>
    <w:rsid w:val="00E35A46"/>
    <w:rsid w:val="00E375CD"/>
    <w:rsid w:val="00E402A4"/>
    <w:rsid w:val="00E458CC"/>
    <w:rsid w:val="00E64169"/>
    <w:rsid w:val="00E648FD"/>
    <w:rsid w:val="00E64EF8"/>
    <w:rsid w:val="00E6786E"/>
    <w:rsid w:val="00E90BC8"/>
    <w:rsid w:val="00E9343F"/>
    <w:rsid w:val="00E947E2"/>
    <w:rsid w:val="00EA0F84"/>
    <w:rsid w:val="00EA6C04"/>
    <w:rsid w:val="00EB4570"/>
    <w:rsid w:val="00EB4FFA"/>
    <w:rsid w:val="00EC0102"/>
    <w:rsid w:val="00ED522C"/>
    <w:rsid w:val="00EE064B"/>
    <w:rsid w:val="00EF1942"/>
    <w:rsid w:val="00EF1F57"/>
    <w:rsid w:val="00EF2D94"/>
    <w:rsid w:val="00F01383"/>
    <w:rsid w:val="00F05FAF"/>
    <w:rsid w:val="00F07352"/>
    <w:rsid w:val="00F11FF5"/>
    <w:rsid w:val="00F156FD"/>
    <w:rsid w:val="00F21814"/>
    <w:rsid w:val="00F25CED"/>
    <w:rsid w:val="00F33173"/>
    <w:rsid w:val="00F3628F"/>
    <w:rsid w:val="00F428FA"/>
    <w:rsid w:val="00F57883"/>
    <w:rsid w:val="00F67EEE"/>
    <w:rsid w:val="00F718AD"/>
    <w:rsid w:val="00F76932"/>
    <w:rsid w:val="00F8351C"/>
    <w:rsid w:val="00F94852"/>
    <w:rsid w:val="00FA0D13"/>
    <w:rsid w:val="00FA1126"/>
    <w:rsid w:val="00FA4EE9"/>
    <w:rsid w:val="00FB219A"/>
    <w:rsid w:val="00FB4C4D"/>
    <w:rsid w:val="00FD0335"/>
    <w:rsid w:val="00FE1671"/>
    <w:rsid w:val="00FE21E4"/>
    <w:rsid w:val="00FE4411"/>
    <w:rsid w:val="00FF32DF"/>
    <w:rsid w:val="00FF3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f8981d,#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footnote reference" w:uiPriority="0"/>
    <w:lsdException w:name="List Number" w:uiPriority="0"/>
    <w:lsdException w:name="List Bullet 2"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ody Text 3" w:uiPriority="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64412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920B58"/>
    <w:pPr>
      <w:keepNext/>
      <w:spacing w:before="120" w:after="120" w:line="680" w:lineRule="atLeast"/>
      <w:outlineLvl w:val="1"/>
    </w:pPr>
    <w:rPr>
      <w:rFonts w:cs="Arial"/>
      <w:bCs/>
      <w:iCs/>
      <w:color w:val="008576"/>
      <w:sz w:val="5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756B57"/>
    <w:pPr>
      <w:keepNext/>
      <w:spacing w:before="120" w:after="120"/>
      <w:outlineLvl w:val="3"/>
    </w:pPr>
    <w:rPr>
      <w:b/>
      <w:bCs/>
      <w:color w:val="008576"/>
      <w:sz w:val="24"/>
      <w:szCs w:val="28"/>
    </w:rPr>
  </w:style>
  <w:style w:type="paragraph" w:styleId="Heading5">
    <w:name w:val="heading 5"/>
    <w:aliases w:val="Level 2 Heading"/>
    <w:basedOn w:val="Heading4"/>
    <w:next w:val="BodyText"/>
    <w:link w:val="Heading5Char"/>
    <w:qFormat/>
    <w:rsid w:val="00AD51CB"/>
    <w:pPr>
      <w:outlineLvl w:val="4"/>
    </w:pPr>
    <w:rPr>
      <w:color w:val="943634" w:themeColor="accent2" w:themeShade="BF"/>
      <w:sz w:val="21"/>
      <w:szCs w:val="21"/>
    </w:rPr>
  </w:style>
  <w:style w:type="paragraph" w:styleId="Heading6">
    <w:name w:val="heading 6"/>
    <w:aliases w:val="Level 3 Heading"/>
    <w:basedOn w:val="Heading5"/>
    <w:next w:val="Normal"/>
    <w:link w:val="Heading6Char"/>
    <w:qFormat/>
    <w:rsid w:val="00AE5701"/>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756B57"/>
    <w:pPr>
      <w:numPr>
        <w:numId w:val="12"/>
      </w:numPr>
      <w:pBdr>
        <w:top w:val="single" w:sz="36" w:space="1" w:color="F8981D"/>
        <w:bottom w:val="single" w:sz="36" w:space="1" w:color="F8981D"/>
        <w:right w:val="single" w:sz="36" w:space="4" w:color="F8981D"/>
      </w:pBdr>
      <w:spacing w:after="120"/>
      <w:ind w:right="197"/>
      <w:outlineLvl w:val="7"/>
    </w:pPr>
    <w:rPr>
      <w:color w:val="FFFFFF" w:themeColor="background1"/>
    </w:rPr>
  </w:style>
  <w:style w:type="paragraph" w:styleId="Heading9">
    <w:name w:val="heading 9"/>
    <w:basedOn w:val="Heading8"/>
    <w:next w:val="Normal"/>
    <w:link w:val="Heading9Char"/>
    <w:rsid w:val="001A1DA2"/>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920B58"/>
    <w:pPr>
      <w:spacing w:before="120" w:after="120" w:line="360" w:lineRule="atLeast"/>
    </w:pPr>
    <w:rPr>
      <w:sz w:val="28"/>
    </w:rPr>
  </w:style>
  <w:style w:type="paragraph" w:styleId="BodyText3">
    <w:name w:val="Body Text 3"/>
    <w:basedOn w:val="Normal"/>
    <w:rsid w:val="00920B58"/>
    <w:pPr>
      <w:spacing w:before="120" w:after="120" w:line="280" w:lineRule="atLeast"/>
    </w:pPr>
    <w:rPr>
      <w:sz w:val="24"/>
      <w:szCs w:val="16"/>
    </w:rPr>
  </w:style>
  <w:style w:type="paragraph" w:customStyle="1" w:styleId="BodyText4">
    <w:name w:val="Body Text 4"/>
    <w:basedOn w:val="BodyText3"/>
    <w:rsid w:val="000B7267"/>
  </w:style>
  <w:style w:type="paragraph" w:styleId="ListNumber">
    <w:name w:val="List Number"/>
    <w:basedOn w:val="Normal"/>
    <w:link w:val="ListNumberChar"/>
    <w:rsid w:val="00063A77"/>
    <w:pPr>
      <w:numPr>
        <w:numId w:val="14"/>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link w:val="BodyTextChar"/>
    <w:qFormat/>
    <w:rsid w:val="00756B5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644121"/>
    <w:pPr>
      <w:numPr>
        <w:numId w:val="13"/>
      </w:numPr>
      <w:spacing w:before="120"/>
    </w:pPr>
    <w:rPr>
      <w:sz w:val="24"/>
    </w:rPr>
  </w:style>
  <w:style w:type="paragraph" w:customStyle="1" w:styleId="BodyTest5">
    <w:name w:val="Body Test 5"/>
    <w:basedOn w:val="BodyText4"/>
    <w:rsid w:val="00644121"/>
    <w:rPr>
      <w:b/>
      <w:color w:val="F8981D"/>
    </w:rPr>
  </w:style>
  <w:style w:type="character" w:customStyle="1" w:styleId="Heading1Char">
    <w:name w:val="Heading 1 Char"/>
    <w:basedOn w:val="DefaultParagraphFont"/>
    <w:link w:val="Heading1"/>
    <w:rsid w:val="00644121"/>
    <w:rPr>
      <w:rFonts w:ascii="Tahoma" w:hAnsi="Tahoma" w:cs="Arial"/>
      <w:bCs/>
      <w:color w:val="FFFFFF"/>
      <w:kern w:val="32"/>
      <w:sz w:val="28"/>
      <w:szCs w:val="32"/>
      <w:lang w:val="en-GB" w:eastAsia="en-GB" w:bidi="ar-SA"/>
    </w:rPr>
  </w:style>
  <w:style w:type="character" w:customStyle="1" w:styleId="Heading5Char">
    <w:name w:val="Heading 5 Char"/>
    <w:aliases w:val="Level 2 Heading Char"/>
    <w:basedOn w:val="Heading1Char"/>
    <w:link w:val="Heading5"/>
    <w:rsid w:val="00AD51CB"/>
    <w:rPr>
      <w:rFonts w:ascii="Tahoma" w:hAnsi="Tahoma" w:cs="Arial"/>
      <w:b/>
      <w:bCs/>
      <w:color w:val="943634" w:themeColor="accent2" w:themeShade="BF"/>
      <w:kern w:val="32"/>
      <w:sz w:val="21"/>
      <w:szCs w:val="21"/>
      <w:lang w:val="en-GB" w:eastAsia="en-GB" w:bidi="ar-SA"/>
    </w:rPr>
  </w:style>
  <w:style w:type="character" w:customStyle="1" w:styleId="Heading6Char">
    <w:name w:val="Heading 6 Char"/>
    <w:aliases w:val="Level 3 Heading Char"/>
    <w:basedOn w:val="Heading1Char"/>
    <w:link w:val="Heading6"/>
    <w:rsid w:val="00AE5701"/>
    <w:rPr>
      <w:rFonts w:ascii="Tahoma" w:hAnsi="Tahoma" w:cs="Arial"/>
      <w:b/>
      <w:bCs/>
      <w:color w:val="FFFFFF"/>
      <w:kern w:val="32"/>
      <w:sz w:val="28"/>
      <w:szCs w:val="21"/>
      <w:lang w:val="en-GB" w:eastAsia="en-GB" w:bidi="ar-SA"/>
    </w:rPr>
  </w:style>
  <w:style w:type="paragraph" w:styleId="ListBullet">
    <w:name w:val="List Bullet"/>
    <w:basedOn w:val="Normal"/>
    <w:link w:val="ListBulletChar"/>
    <w:rsid w:val="00644121"/>
    <w:pPr>
      <w:tabs>
        <w:tab w:val="left" w:pos="266"/>
      </w:tabs>
    </w:pPr>
    <w:rPr>
      <w:color w:val="F8981D"/>
    </w:rPr>
  </w:style>
  <w:style w:type="paragraph" w:styleId="ListBullet2">
    <w:name w:val="List Bullet 2"/>
    <w:basedOn w:val="Normal"/>
    <w:rsid w:val="00796AD6"/>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644121"/>
    <w:rPr>
      <w:rFonts w:ascii="Tahoma" w:hAnsi="Tahoma"/>
      <w:color w:val="F8981D"/>
      <w:szCs w:val="24"/>
      <w:lang w:val="en-GB" w:eastAsia="en-GB" w:bidi="ar-SA"/>
    </w:rPr>
  </w:style>
  <w:style w:type="character" w:customStyle="1" w:styleId="ListBullet3Char">
    <w:name w:val="List Bullet 3 Char"/>
    <w:basedOn w:val="ListBulletChar"/>
    <w:link w:val="ListBullet3"/>
    <w:rsid w:val="003C7070"/>
    <w:rPr>
      <w:rFonts w:ascii="Tahoma" w:hAnsi="Tahoma"/>
      <w:color w:val="F8981D"/>
      <w:szCs w:val="24"/>
      <w:lang w:val="en-GB" w:eastAsia="en-GB" w:bidi="ar-SA"/>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644121"/>
    <w:pPr>
      <w:numPr>
        <w:numId w:val="4"/>
      </w:num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44121"/>
    <w:rPr>
      <w:rFonts w:ascii="Tahoma" w:hAnsi="Tahoma"/>
      <w:color w:val="F8981D"/>
      <w:szCs w:val="24"/>
      <w:lang w:val="en-GB" w:eastAsia="en-GB" w:bidi="ar-SA"/>
    </w:rPr>
  </w:style>
  <w:style w:type="character" w:customStyle="1" w:styleId="Heading8Char">
    <w:name w:val="Heading 8 Char"/>
    <w:aliases w:val="Section Heading Char"/>
    <w:basedOn w:val="Heading1Char"/>
    <w:link w:val="Heading8"/>
    <w:rsid w:val="00756B57"/>
    <w:rPr>
      <w:rFonts w:ascii="Tahoma" w:hAnsi="Tahoma" w:cs="Arial"/>
      <w:bCs/>
      <w:color w:val="FFFFFF" w:themeColor="background1"/>
      <w:kern w:val="32"/>
      <w:sz w:val="28"/>
      <w:szCs w:val="32"/>
      <w:shd w:val="clear" w:color="auto" w:fill="F8981D"/>
      <w:lang w:val="en-GB" w:eastAsia="en-GB" w:bidi="ar-SA"/>
    </w:rPr>
  </w:style>
  <w:style w:type="character" w:customStyle="1" w:styleId="Heading9Char">
    <w:name w:val="Heading 9 Char"/>
    <w:basedOn w:val="Heading8Char"/>
    <w:link w:val="Heading9"/>
    <w:rsid w:val="001A1DA2"/>
    <w:rPr>
      <w:rFonts w:ascii="Tahoma" w:hAnsi="Tahoma" w:cs="Arial"/>
      <w:bCs/>
      <w:color w:val="FFFFFF" w:themeColor="background1"/>
      <w:kern w:val="32"/>
      <w:sz w:val="28"/>
      <w:szCs w:val="32"/>
      <w:shd w:val="clear" w:color="auto" w:fill="F8981D"/>
      <w:lang w:val="en-GB" w:eastAsia="en-GB" w:bidi="ar-SA"/>
    </w:rPr>
  </w:style>
  <w:style w:type="paragraph" w:customStyle="1" w:styleId="TableTitle">
    <w:name w:val="Table Title"/>
    <w:basedOn w:val="Normal"/>
    <w:link w:val="TableTitleChar"/>
    <w:qFormat/>
    <w:rsid w:val="0016656E"/>
    <w:pPr>
      <w:spacing w:line="240" w:lineRule="auto"/>
      <w:ind w:left="57" w:right="57"/>
    </w:pPr>
    <w:rPr>
      <w:color w:val="008576"/>
    </w:rPr>
  </w:style>
  <w:style w:type="paragraph" w:customStyle="1" w:styleId="TableColumnHeading">
    <w:name w:val="Table Column Heading"/>
    <w:basedOn w:val="Normal"/>
    <w:qFormat/>
    <w:rsid w:val="00661737"/>
    <w:pPr>
      <w:spacing w:before="60" w:after="60" w:line="240" w:lineRule="auto"/>
      <w:ind w:left="57" w:right="57"/>
    </w:pPr>
  </w:style>
  <w:style w:type="paragraph" w:customStyle="1" w:styleId="TableBodyText">
    <w:name w:val="Table Body Text"/>
    <w:basedOn w:val="Normal"/>
    <w:qFormat/>
    <w:rsid w:val="00661737"/>
    <w:pPr>
      <w:spacing w:after="60"/>
      <w:ind w:left="57" w:right="57"/>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4174C7"/>
  </w:style>
  <w:style w:type="paragraph" w:styleId="TOC2">
    <w:name w:val="toc 2"/>
    <w:basedOn w:val="Heading9"/>
    <w:next w:val="Normal"/>
    <w:link w:val="TOC2Char"/>
    <w:autoRedefine/>
    <w:rsid w:val="000559F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8981D"/>
      <w:kern w:val="0"/>
    </w:rPr>
  </w:style>
  <w:style w:type="paragraph" w:styleId="TOC3">
    <w:name w:val="toc 3"/>
    <w:basedOn w:val="Heading4"/>
    <w:next w:val="Normal"/>
    <w:autoRedefine/>
    <w:rsid w:val="000559F7"/>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644121"/>
    <w:rPr>
      <w:rFonts w:ascii="Tahoma" w:hAnsi="Tahoma"/>
      <w:szCs w:val="24"/>
    </w:rPr>
  </w:style>
  <w:style w:type="character" w:customStyle="1" w:styleId="ListNumber2Char">
    <w:name w:val="List Number 2 Char"/>
    <w:basedOn w:val="DefaultParagraphFont"/>
    <w:link w:val="ListNumber2"/>
    <w:rsid w:val="00644121"/>
    <w:rPr>
      <w:rFonts w:ascii="Tahoma" w:hAnsi="Tahoma"/>
      <w:sz w:val="24"/>
      <w:szCs w:val="24"/>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qFormat/>
    <w:rsid w:val="00756B57"/>
    <w:rPr>
      <w:rFonts w:ascii="Tahoma" w:hAnsi="Tahoma"/>
      <w:color w:val="F8981D"/>
      <w:sz w:val="20"/>
      <w:u w:val="single"/>
    </w:rPr>
  </w:style>
  <w:style w:type="paragraph" w:customStyle="1" w:styleId="About">
    <w:name w:val="About"/>
    <w:basedOn w:val="Contents"/>
    <w:rsid w:val="00E346F8"/>
    <w:pPr>
      <w:pBdr>
        <w:top w:val="single" w:sz="48" w:space="1" w:color="F8981D"/>
        <w:bottom w:val="single" w:sz="48" w:space="1" w:color="F8981D"/>
        <w:right w:val="single" w:sz="48" w:space="4" w:color="F8981D"/>
      </w:pBdr>
      <w:tabs>
        <w:tab w:val="right" w:pos="7811"/>
      </w:tabs>
      <w:spacing w:before="240"/>
      <w:ind w:right="238"/>
    </w:pPr>
  </w:style>
  <w:style w:type="character" w:customStyle="1" w:styleId="TOC2Char">
    <w:name w:val="TOC 2 Char"/>
    <w:basedOn w:val="Heading9Char"/>
    <w:link w:val="TOC2"/>
    <w:rsid w:val="000559F7"/>
    <w:rPr>
      <w:rFonts w:ascii="Tahoma" w:hAnsi="Tahoma" w:cs="Arial"/>
      <w:bCs/>
      <w:noProof/>
      <w:color w:val="F8981D"/>
      <w:kern w:val="32"/>
      <w:sz w:val="28"/>
      <w:szCs w:val="32"/>
      <w:shd w:val="clear" w:color="auto" w:fill="F8981D"/>
      <w:lang w:val="en-GB" w:eastAsia="en-GB" w:bidi="ar-SA"/>
    </w:rPr>
  </w:style>
  <w:style w:type="character" w:customStyle="1" w:styleId="TOC1Char">
    <w:name w:val="TOC 1 Char"/>
    <w:basedOn w:val="TOC2Char"/>
    <w:link w:val="TOC1"/>
    <w:rsid w:val="004174C7"/>
    <w:rPr>
      <w:rFonts w:ascii="Tahoma" w:hAnsi="Tahoma" w:cs="Arial"/>
      <w:bCs/>
      <w:noProof/>
      <w:color w:val="F8981D"/>
      <w:kern w:val="32"/>
      <w:sz w:val="28"/>
      <w:szCs w:val="32"/>
      <w:shd w:val="clear" w:color="auto" w:fill="F8981D"/>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Title"/>
    <w:rsid w:val="00684B8F"/>
    <w:rPr>
      <w:b/>
      <w:color w:val="FFFFFF"/>
    </w:rPr>
  </w:style>
  <w:style w:type="paragraph" w:customStyle="1" w:styleId="TableList">
    <w:name w:val="Table List"/>
    <w:basedOn w:val="ListBullet2"/>
    <w:rsid w:val="008A2B89"/>
    <w:pPr>
      <w:numPr>
        <w:ilvl w:val="1"/>
        <w:numId w:val="30"/>
      </w:numPr>
    </w:pPr>
    <w:rPr>
      <w:color w:val="008576"/>
    </w:rPr>
  </w:style>
  <w:style w:type="character" w:styleId="CommentReference">
    <w:name w:val="annotation reference"/>
    <w:basedOn w:val="DefaultParagraphFont"/>
    <w:semiHidden/>
    <w:rsid w:val="00113D00"/>
    <w:rPr>
      <w:sz w:val="16"/>
      <w:szCs w:val="16"/>
    </w:rPr>
  </w:style>
  <w:style w:type="paragraph" w:styleId="CommentText">
    <w:name w:val="annotation text"/>
    <w:basedOn w:val="Normal"/>
    <w:semiHidden/>
    <w:rsid w:val="00113D00"/>
    <w:rPr>
      <w:szCs w:val="20"/>
    </w:rPr>
  </w:style>
  <w:style w:type="paragraph" w:styleId="CommentSubject">
    <w:name w:val="annotation subject"/>
    <w:basedOn w:val="CommentText"/>
    <w:next w:val="CommentText"/>
    <w:semiHidden/>
    <w:rsid w:val="00113D00"/>
    <w:rPr>
      <w:b/>
      <w:bCs/>
    </w:rPr>
  </w:style>
  <w:style w:type="character" w:customStyle="1" w:styleId="Heading4Char">
    <w:name w:val="Heading 4 Char"/>
    <w:aliases w:val="Level 1 Heading Char"/>
    <w:link w:val="Heading4"/>
    <w:rsid w:val="00445062"/>
    <w:rPr>
      <w:rFonts w:ascii="Tahoma" w:hAnsi="Tahoma"/>
      <w:b/>
      <w:bCs/>
      <w:color w:val="008576"/>
      <w:sz w:val="24"/>
      <w:szCs w:val="28"/>
    </w:rPr>
  </w:style>
  <w:style w:type="character" w:customStyle="1" w:styleId="TableTitleChar">
    <w:name w:val="Table Title Char"/>
    <w:link w:val="TableTitle"/>
    <w:locked/>
    <w:rsid w:val="0016656E"/>
    <w:rPr>
      <w:rFonts w:ascii="Tahoma" w:hAnsi="Tahoma"/>
      <w:color w:val="008576"/>
      <w:szCs w:val="24"/>
    </w:rPr>
  </w:style>
  <w:style w:type="paragraph" w:styleId="ListParagraph">
    <w:name w:val="List Paragraph"/>
    <w:basedOn w:val="BodyText"/>
    <w:link w:val="ListParagraphChar"/>
    <w:uiPriority w:val="34"/>
    <w:qFormat/>
    <w:rsid w:val="0016656E"/>
    <w:pPr>
      <w:numPr>
        <w:numId w:val="40"/>
      </w:numPr>
      <w:ind w:left="714" w:hanging="357"/>
    </w:pPr>
  </w:style>
  <w:style w:type="character" w:customStyle="1" w:styleId="ListParagraphChar">
    <w:name w:val="List Paragraph Char"/>
    <w:link w:val="ListParagraph"/>
    <w:uiPriority w:val="34"/>
    <w:rsid w:val="0016656E"/>
    <w:rPr>
      <w:rFonts w:ascii="Tahoma" w:hAnsi="Tahoma"/>
      <w:szCs w:val="24"/>
    </w:rPr>
  </w:style>
  <w:style w:type="paragraph" w:styleId="FootnoteText">
    <w:name w:val="footnote text"/>
    <w:basedOn w:val="Normal"/>
    <w:link w:val="FootnoteTextChar"/>
    <w:uiPriority w:val="99"/>
    <w:semiHidden/>
    <w:unhideWhenUsed/>
    <w:rsid w:val="00DE4228"/>
    <w:pPr>
      <w:spacing w:line="240" w:lineRule="auto"/>
    </w:pPr>
    <w:rPr>
      <w:szCs w:val="20"/>
    </w:rPr>
  </w:style>
  <w:style w:type="character" w:customStyle="1" w:styleId="FootnoteTextChar">
    <w:name w:val="Footnote Text Char"/>
    <w:basedOn w:val="DefaultParagraphFont"/>
    <w:link w:val="FootnoteText"/>
    <w:uiPriority w:val="99"/>
    <w:semiHidden/>
    <w:rsid w:val="00DE4228"/>
    <w:rPr>
      <w:rFonts w:ascii="Tahoma" w:hAnsi="Tahoma"/>
    </w:rPr>
  </w:style>
  <w:style w:type="character" w:styleId="FootnoteReference">
    <w:name w:val="footnote reference"/>
    <w:basedOn w:val="DefaultParagraphFont"/>
    <w:unhideWhenUsed/>
    <w:rsid w:val="00DE4228"/>
    <w:rPr>
      <w:vertAlign w:val="superscript"/>
    </w:rPr>
  </w:style>
  <w:style w:type="paragraph" w:customStyle="1" w:styleId="ParagraphList">
    <w:name w:val="Paragraph List"/>
    <w:basedOn w:val="ListParagraph"/>
    <w:link w:val="ParagraphListChar"/>
    <w:rsid w:val="009C7F6C"/>
    <w:pPr>
      <w:numPr>
        <w:ilvl w:val="1"/>
        <w:numId w:val="42"/>
      </w:numPr>
      <w:spacing w:after="120" w:line="360" w:lineRule="auto"/>
    </w:pPr>
    <w:rPr>
      <w:rFonts w:cs="Tahoma"/>
      <w:color w:val="000000" w:themeColor="text1"/>
      <w:szCs w:val="20"/>
      <w:lang w:eastAsia="en-US"/>
    </w:rPr>
  </w:style>
  <w:style w:type="character" w:customStyle="1" w:styleId="ParagraphListChar">
    <w:name w:val="Paragraph List Char"/>
    <w:basedOn w:val="DefaultParagraphFont"/>
    <w:link w:val="ParagraphList"/>
    <w:rsid w:val="009C7F6C"/>
    <w:rPr>
      <w:rFonts w:ascii="Tahoma" w:hAnsi="Tahoma" w:cs="Tahoma"/>
      <w:color w:val="000000" w:themeColor="text1"/>
      <w:lang w:eastAsia="en-US"/>
    </w:rPr>
  </w:style>
  <w:style w:type="character" w:customStyle="1" w:styleId="BodyTextChar">
    <w:name w:val="Body Text Char"/>
    <w:basedOn w:val="DefaultParagraphFont"/>
    <w:link w:val="BodyText"/>
    <w:rsid w:val="006060C3"/>
    <w:rPr>
      <w:rFonts w:ascii="Tahoma" w:hAnsi="Tahoma"/>
      <w:szCs w:val="24"/>
    </w:rPr>
  </w:style>
  <w:style w:type="paragraph" w:customStyle="1" w:styleId="Tableheading">
    <w:name w:val="Table heading"/>
    <w:basedOn w:val="Normal"/>
    <w:link w:val="TableheadingChar"/>
    <w:uiPriority w:val="8"/>
    <w:qFormat/>
    <w:rsid w:val="00401A92"/>
    <w:pPr>
      <w:spacing w:line="260" w:lineRule="atLeast"/>
      <w:ind w:left="113" w:right="113"/>
    </w:pPr>
    <w:rPr>
      <w:rFonts w:cs="Tahoma"/>
      <w:b/>
      <w:color w:val="FFFFFF" w:themeColor="background1"/>
      <w:sz w:val="22"/>
      <w:szCs w:val="22"/>
      <w:lang w:eastAsia="en-US"/>
    </w:rPr>
  </w:style>
  <w:style w:type="character" w:customStyle="1" w:styleId="TableheadingChar">
    <w:name w:val="Table heading Char"/>
    <w:basedOn w:val="DefaultParagraphFont"/>
    <w:link w:val="Tableheading"/>
    <w:uiPriority w:val="8"/>
    <w:rsid w:val="00401A92"/>
    <w:rPr>
      <w:rFonts w:ascii="Tahoma" w:hAnsi="Tahoma" w:cs="Tahoma"/>
      <w:b/>
      <w:color w:val="FFFFFF" w:themeColor="background1"/>
      <w:sz w:val="22"/>
      <w:szCs w:val="22"/>
      <w:lang w:eastAsia="en-US"/>
    </w:rPr>
  </w:style>
  <w:style w:type="numbering" w:customStyle="1" w:styleId="ListHeadings">
    <w:name w:val="__List Headings"/>
    <w:uiPriority w:val="99"/>
    <w:rsid w:val="00401A92"/>
    <w:pPr>
      <w:numPr>
        <w:numId w:val="46"/>
      </w:numPr>
    </w:pPr>
  </w:style>
  <w:style w:type="paragraph" w:customStyle="1" w:styleId="Numberbodytext1">
    <w:name w:val="Number body text 1"/>
    <w:basedOn w:val="BodyText"/>
    <w:uiPriority w:val="3"/>
    <w:unhideWhenUsed/>
    <w:qFormat/>
    <w:rsid w:val="00401A92"/>
    <w:pPr>
      <w:numPr>
        <w:ilvl w:val="1"/>
        <w:numId w:val="47"/>
      </w:numPr>
      <w:spacing w:after="113" w:line="260" w:lineRule="atLeast"/>
    </w:pPr>
    <w:rPr>
      <w:rFonts w:cs="Tahoma"/>
      <w:color w:val="000000" w:themeColor="text1"/>
      <w:szCs w:val="20"/>
      <w:lang w:eastAsia="en-US"/>
    </w:rPr>
  </w:style>
  <w:style w:type="paragraph" w:customStyle="1" w:styleId="Numberbodytext2">
    <w:name w:val="Number body text 2"/>
    <w:basedOn w:val="Numberbodytext1"/>
    <w:uiPriority w:val="3"/>
    <w:unhideWhenUsed/>
    <w:qFormat/>
    <w:rsid w:val="00401A92"/>
    <w:pPr>
      <w:numPr>
        <w:ilvl w:val="2"/>
      </w:numPr>
    </w:pPr>
  </w:style>
  <w:style w:type="paragraph" w:customStyle="1" w:styleId="Numberheading">
    <w:name w:val="Number heading"/>
    <w:basedOn w:val="Normal"/>
    <w:next w:val="Numberbodytext1"/>
    <w:uiPriority w:val="2"/>
    <w:qFormat/>
    <w:rsid w:val="00401A92"/>
    <w:pPr>
      <w:numPr>
        <w:numId w:val="47"/>
      </w:numPr>
      <w:spacing w:before="200" w:after="113" w:line="260" w:lineRule="atLeast"/>
    </w:pPr>
    <w:rPr>
      <w:rFonts w:cs="Tahoma"/>
      <w:b/>
      <w:color w:val="1F497D" w:themeColor="text2"/>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footnote reference" w:uiPriority="0"/>
    <w:lsdException w:name="List Number" w:uiPriority="0"/>
    <w:lsdException w:name="List Bullet 2"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ody Text 3" w:uiPriority="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64412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920B58"/>
    <w:pPr>
      <w:keepNext/>
      <w:spacing w:before="120" w:after="120" w:line="680" w:lineRule="atLeast"/>
      <w:outlineLvl w:val="1"/>
    </w:pPr>
    <w:rPr>
      <w:rFonts w:cs="Arial"/>
      <w:bCs/>
      <w:iCs/>
      <w:color w:val="008576"/>
      <w:sz w:val="5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756B57"/>
    <w:pPr>
      <w:keepNext/>
      <w:spacing w:before="120" w:after="120"/>
      <w:outlineLvl w:val="3"/>
    </w:pPr>
    <w:rPr>
      <w:b/>
      <w:bCs/>
      <w:color w:val="008576"/>
      <w:sz w:val="24"/>
      <w:szCs w:val="28"/>
    </w:rPr>
  </w:style>
  <w:style w:type="paragraph" w:styleId="Heading5">
    <w:name w:val="heading 5"/>
    <w:aliases w:val="Level 2 Heading"/>
    <w:basedOn w:val="Heading4"/>
    <w:next w:val="BodyText"/>
    <w:link w:val="Heading5Char"/>
    <w:qFormat/>
    <w:rsid w:val="00AD51CB"/>
    <w:pPr>
      <w:outlineLvl w:val="4"/>
    </w:pPr>
    <w:rPr>
      <w:color w:val="943634" w:themeColor="accent2" w:themeShade="BF"/>
      <w:sz w:val="21"/>
      <w:szCs w:val="21"/>
    </w:rPr>
  </w:style>
  <w:style w:type="paragraph" w:styleId="Heading6">
    <w:name w:val="heading 6"/>
    <w:aliases w:val="Level 3 Heading"/>
    <w:basedOn w:val="Heading5"/>
    <w:next w:val="Normal"/>
    <w:link w:val="Heading6Char"/>
    <w:qFormat/>
    <w:rsid w:val="00AE5701"/>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756B57"/>
    <w:pPr>
      <w:numPr>
        <w:numId w:val="12"/>
      </w:numPr>
      <w:pBdr>
        <w:top w:val="single" w:sz="36" w:space="1" w:color="F8981D"/>
        <w:bottom w:val="single" w:sz="36" w:space="1" w:color="F8981D"/>
        <w:right w:val="single" w:sz="36" w:space="4" w:color="F8981D"/>
      </w:pBdr>
      <w:spacing w:after="120"/>
      <w:ind w:right="197"/>
      <w:outlineLvl w:val="7"/>
    </w:pPr>
    <w:rPr>
      <w:color w:val="FFFFFF" w:themeColor="background1"/>
    </w:rPr>
  </w:style>
  <w:style w:type="paragraph" w:styleId="Heading9">
    <w:name w:val="heading 9"/>
    <w:basedOn w:val="Heading8"/>
    <w:next w:val="Normal"/>
    <w:link w:val="Heading9Char"/>
    <w:rsid w:val="001A1DA2"/>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920B58"/>
    <w:pPr>
      <w:spacing w:before="120" w:after="120" w:line="360" w:lineRule="atLeast"/>
    </w:pPr>
    <w:rPr>
      <w:sz w:val="28"/>
    </w:rPr>
  </w:style>
  <w:style w:type="paragraph" w:styleId="BodyText3">
    <w:name w:val="Body Text 3"/>
    <w:basedOn w:val="Normal"/>
    <w:rsid w:val="00920B58"/>
    <w:pPr>
      <w:spacing w:before="120" w:after="120" w:line="280" w:lineRule="atLeast"/>
    </w:pPr>
    <w:rPr>
      <w:sz w:val="24"/>
      <w:szCs w:val="16"/>
    </w:rPr>
  </w:style>
  <w:style w:type="paragraph" w:customStyle="1" w:styleId="BodyText4">
    <w:name w:val="Body Text 4"/>
    <w:basedOn w:val="BodyText3"/>
    <w:rsid w:val="000B7267"/>
  </w:style>
  <w:style w:type="paragraph" w:styleId="ListNumber">
    <w:name w:val="List Number"/>
    <w:basedOn w:val="Normal"/>
    <w:link w:val="ListNumberChar"/>
    <w:rsid w:val="00063A77"/>
    <w:pPr>
      <w:numPr>
        <w:numId w:val="14"/>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link w:val="BodyTextChar"/>
    <w:qFormat/>
    <w:rsid w:val="00756B5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644121"/>
    <w:pPr>
      <w:numPr>
        <w:numId w:val="13"/>
      </w:numPr>
      <w:spacing w:before="120"/>
    </w:pPr>
    <w:rPr>
      <w:sz w:val="24"/>
    </w:rPr>
  </w:style>
  <w:style w:type="paragraph" w:customStyle="1" w:styleId="BodyTest5">
    <w:name w:val="Body Test 5"/>
    <w:basedOn w:val="BodyText4"/>
    <w:rsid w:val="00644121"/>
    <w:rPr>
      <w:b/>
      <w:color w:val="F8981D"/>
    </w:rPr>
  </w:style>
  <w:style w:type="character" w:customStyle="1" w:styleId="Heading1Char">
    <w:name w:val="Heading 1 Char"/>
    <w:basedOn w:val="DefaultParagraphFont"/>
    <w:link w:val="Heading1"/>
    <w:rsid w:val="00644121"/>
    <w:rPr>
      <w:rFonts w:ascii="Tahoma" w:hAnsi="Tahoma" w:cs="Arial"/>
      <w:bCs/>
      <w:color w:val="FFFFFF"/>
      <w:kern w:val="32"/>
      <w:sz w:val="28"/>
      <w:szCs w:val="32"/>
      <w:lang w:val="en-GB" w:eastAsia="en-GB" w:bidi="ar-SA"/>
    </w:rPr>
  </w:style>
  <w:style w:type="character" w:customStyle="1" w:styleId="Heading5Char">
    <w:name w:val="Heading 5 Char"/>
    <w:aliases w:val="Level 2 Heading Char"/>
    <w:basedOn w:val="Heading1Char"/>
    <w:link w:val="Heading5"/>
    <w:rsid w:val="00AD51CB"/>
    <w:rPr>
      <w:rFonts w:ascii="Tahoma" w:hAnsi="Tahoma" w:cs="Arial"/>
      <w:b/>
      <w:bCs/>
      <w:color w:val="943634" w:themeColor="accent2" w:themeShade="BF"/>
      <w:kern w:val="32"/>
      <w:sz w:val="21"/>
      <w:szCs w:val="21"/>
      <w:lang w:val="en-GB" w:eastAsia="en-GB" w:bidi="ar-SA"/>
    </w:rPr>
  </w:style>
  <w:style w:type="character" w:customStyle="1" w:styleId="Heading6Char">
    <w:name w:val="Heading 6 Char"/>
    <w:aliases w:val="Level 3 Heading Char"/>
    <w:basedOn w:val="Heading1Char"/>
    <w:link w:val="Heading6"/>
    <w:rsid w:val="00AE5701"/>
    <w:rPr>
      <w:rFonts w:ascii="Tahoma" w:hAnsi="Tahoma" w:cs="Arial"/>
      <w:b/>
      <w:bCs/>
      <w:color w:val="FFFFFF"/>
      <w:kern w:val="32"/>
      <w:sz w:val="28"/>
      <w:szCs w:val="21"/>
      <w:lang w:val="en-GB" w:eastAsia="en-GB" w:bidi="ar-SA"/>
    </w:rPr>
  </w:style>
  <w:style w:type="paragraph" w:styleId="ListBullet">
    <w:name w:val="List Bullet"/>
    <w:basedOn w:val="Normal"/>
    <w:link w:val="ListBulletChar"/>
    <w:rsid w:val="00644121"/>
    <w:pPr>
      <w:tabs>
        <w:tab w:val="left" w:pos="266"/>
      </w:tabs>
    </w:pPr>
    <w:rPr>
      <w:color w:val="F8981D"/>
    </w:rPr>
  </w:style>
  <w:style w:type="paragraph" w:styleId="ListBullet2">
    <w:name w:val="List Bullet 2"/>
    <w:basedOn w:val="Normal"/>
    <w:rsid w:val="00796AD6"/>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644121"/>
    <w:rPr>
      <w:rFonts w:ascii="Tahoma" w:hAnsi="Tahoma"/>
      <w:color w:val="F8981D"/>
      <w:szCs w:val="24"/>
      <w:lang w:val="en-GB" w:eastAsia="en-GB" w:bidi="ar-SA"/>
    </w:rPr>
  </w:style>
  <w:style w:type="character" w:customStyle="1" w:styleId="ListBullet3Char">
    <w:name w:val="List Bullet 3 Char"/>
    <w:basedOn w:val="ListBulletChar"/>
    <w:link w:val="ListBullet3"/>
    <w:rsid w:val="003C7070"/>
    <w:rPr>
      <w:rFonts w:ascii="Tahoma" w:hAnsi="Tahoma"/>
      <w:color w:val="F8981D"/>
      <w:szCs w:val="24"/>
      <w:lang w:val="en-GB" w:eastAsia="en-GB" w:bidi="ar-SA"/>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644121"/>
    <w:pPr>
      <w:numPr>
        <w:numId w:val="4"/>
      </w:num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44121"/>
    <w:rPr>
      <w:rFonts w:ascii="Tahoma" w:hAnsi="Tahoma"/>
      <w:color w:val="F8981D"/>
      <w:szCs w:val="24"/>
      <w:lang w:val="en-GB" w:eastAsia="en-GB" w:bidi="ar-SA"/>
    </w:rPr>
  </w:style>
  <w:style w:type="character" w:customStyle="1" w:styleId="Heading8Char">
    <w:name w:val="Heading 8 Char"/>
    <w:aliases w:val="Section Heading Char"/>
    <w:basedOn w:val="Heading1Char"/>
    <w:link w:val="Heading8"/>
    <w:rsid w:val="00756B57"/>
    <w:rPr>
      <w:rFonts w:ascii="Tahoma" w:hAnsi="Tahoma" w:cs="Arial"/>
      <w:bCs/>
      <w:color w:val="FFFFFF" w:themeColor="background1"/>
      <w:kern w:val="32"/>
      <w:sz w:val="28"/>
      <w:szCs w:val="32"/>
      <w:shd w:val="clear" w:color="auto" w:fill="F8981D"/>
      <w:lang w:val="en-GB" w:eastAsia="en-GB" w:bidi="ar-SA"/>
    </w:rPr>
  </w:style>
  <w:style w:type="character" w:customStyle="1" w:styleId="Heading9Char">
    <w:name w:val="Heading 9 Char"/>
    <w:basedOn w:val="Heading8Char"/>
    <w:link w:val="Heading9"/>
    <w:rsid w:val="001A1DA2"/>
    <w:rPr>
      <w:rFonts w:ascii="Tahoma" w:hAnsi="Tahoma" w:cs="Arial"/>
      <w:bCs/>
      <w:color w:val="FFFFFF" w:themeColor="background1"/>
      <w:kern w:val="32"/>
      <w:sz w:val="28"/>
      <w:szCs w:val="32"/>
      <w:shd w:val="clear" w:color="auto" w:fill="F8981D"/>
      <w:lang w:val="en-GB" w:eastAsia="en-GB" w:bidi="ar-SA"/>
    </w:rPr>
  </w:style>
  <w:style w:type="paragraph" w:customStyle="1" w:styleId="TableTitle">
    <w:name w:val="Table Title"/>
    <w:basedOn w:val="Normal"/>
    <w:link w:val="TableTitleChar"/>
    <w:qFormat/>
    <w:rsid w:val="0016656E"/>
    <w:pPr>
      <w:spacing w:line="240" w:lineRule="auto"/>
      <w:ind w:left="57" w:right="57"/>
    </w:pPr>
    <w:rPr>
      <w:color w:val="008576"/>
    </w:rPr>
  </w:style>
  <w:style w:type="paragraph" w:customStyle="1" w:styleId="TableColumnHeading">
    <w:name w:val="Table Column Heading"/>
    <w:basedOn w:val="Normal"/>
    <w:qFormat/>
    <w:rsid w:val="00661737"/>
    <w:pPr>
      <w:spacing w:before="60" w:after="60" w:line="240" w:lineRule="auto"/>
      <w:ind w:left="57" w:right="57"/>
    </w:pPr>
  </w:style>
  <w:style w:type="paragraph" w:customStyle="1" w:styleId="TableBodyText">
    <w:name w:val="Table Body Text"/>
    <w:basedOn w:val="Normal"/>
    <w:qFormat/>
    <w:rsid w:val="00661737"/>
    <w:pPr>
      <w:spacing w:after="60"/>
      <w:ind w:left="57" w:right="57"/>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4174C7"/>
  </w:style>
  <w:style w:type="paragraph" w:styleId="TOC2">
    <w:name w:val="toc 2"/>
    <w:basedOn w:val="Heading9"/>
    <w:next w:val="Normal"/>
    <w:link w:val="TOC2Char"/>
    <w:autoRedefine/>
    <w:rsid w:val="000559F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8981D"/>
      <w:kern w:val="0"/>
    </w:rPr>
  </w:style>
  <w:style w:type="paragraph" w:styleId="TOC3">
    <w:name w:val="toc 3"/>
    <w:basedOn w:val="Heading4"/>
    <w:next w:val="Normal"/>
    <w:autoRedefine/>
    <w:rsid w:val="000559F7"/>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644121"/>
    <w:rPr>
      <w:rFonts w:ascii="Tahoma" w:hAnsi="Tahoma"/>
      <w:szCs w:val="24"/>
    </w:rPr>
  </w:style>
  <w:style w:type="character" w:customStyle="1" w:styleId="ListNumber2Char">
    <w:name w:val="List Number 2 Char"/>
    <w:basedOn w:val="DefaultParagraphFont"/>
    <w:link w:val="ListNumber2"/>
    <w:rsid w:val="00644121"/>
    <w:rPr>
      <w:rFonts w:ascii="Tahoma" w:hAnsi="Tahoma"/>
      <w:sz w:val="24"/>
      <w:szCs w:val="24"/>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qFormat/>
    <w:rsid w:val="00756B57"/>
    <w:rPr>
      <w:rFonts w:ascii="Tahoma" w:hAnsi="Tahoma"/>
      <w:color w:val="F8981D"/>
      <w:sz w:val="20"/>
      <w:u w:val="single"/>
    </w:rPr>
  </w:style>
  <w:style w:type="paragraph" w:customStyle="1" w:styleId="About">
    <w:name w:val="About"/>
    <w:basedOn w:val="Contents"/>
    <w:rsid w:val="00E346F8"/>
    <w:pPr>
      <w:pBdr>
        <w:top w:val="single" w:sz="48" w:space="1" w:color="F8981D"/>
        <w:bottom w:val="single" w:sz="48" w:space="1" w:color="F8981D"/>
        <w:right w:val="single" w:sz="48" w:space="4" w:color="F8981D"/>
      </w:pBdr>
      <w:tabs>
        <w:tab w:val="right" w:pos="7811"/>
      </w:tabs>
      <w:spacing w:before="240"/>
      <w:ind w:right="238"/>
    </w:pPr>
  </w:style>
  <w:style w:type="character" w:customStyle="1" w:styleId="TOC2Char">
    <w:name w:val="TOC 2 Char"/>
    <w:basedOn w:val="Heading9Char"/>
    <w:link w:val="TOC2"/>
    <w:rsid w:val="000559F7"/>
    <w:rPr>
      <w:rFonts w:ascii="Tahoma" w:hAnsi="Tahoma" w:cs="Arial"/>
      <w:bCs/>
      <w:noProof/>
      <w:color w:val="F8981D"/>
      <w:kern w:val="32"/>
      <w:sz w:val="28"/>
      <w:szCs w:val="32"/>
      <w:shd w:val="clear" w:color="auto" w:fill="F8981D"/>
      <w:lang w:val="en-GB" w:eastAsia="en-GB" w:bidi="ar-SA"/>
    </w:rPr>
  </w:style>
  <w:style w:type="character" w:customStyle="1" w:styleId="TOC1Char">
    <w:name w:val="TOC 1 Char"/>
    <w:basedOn w:val="TOC2Char"/>
    <w:link w:val="TOC1"/>
    <w:rsid w:val="004174C7"/>
    <w:rPr>
      <w:rFonts w:ascii="Tahoma" w:hAnsi="Tahoma" w:cs="Arial"/>
      <w:bCs/>
      <w:noProof/>
      <w:color w:val="F8981D"/>
      <w:kern w:val="32"/>
      <w:sz w:val="28"/>
      <w:szCs w:val="32"/>
      <w:shd w:val="clear" w:color="auto" w:fill="F8981D"/>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Title"/>
    <w:rsid w:val="00684B8F"/>
    <w:rPr>
      <w:b/>
      <w:color w:val="FFFFFF"/>
    </w:rPr>
  </w:style>
  <w:style w:type="paragraph" w:customStyle="1" w:styleId="TableList">
    <w:name w:val="Table List"/>
    <w:basedOn w:val="ListBullet2"/>
    <w:rsid w:val="008A2B89"/>
    <w:pPr>
      <w:numPr>
        <w:ilvl w:val="1"/>
        <w:numId w:val="30"/>
      </w:numPr>
    </w:pPr>
    <w:rPr>
      <w:color w:val="008576"/>
    </w:rPr>
  </w:style>
  <w:style w:type="character" w:styleId="CommentReference">
    <w:name w:val="annotation reference"/>
    <w:basedOn w:val="DefaultParagraphFont"/>
    <w:semiHidden/>
    <w:rsid w:val="00113D00"/>
    <w:rPr>
      <w:sz w:val="16"/>
      <w:szCs w:val="16"/>
    </w:rPr>
  </w:style>
  <w:style w:type="paragraph" w:styleId="CommentText">
    <w:name w:val="annotation text"/>
    <w:basedOn w:val="Normal"/>
    <w:semiHidden/>
    <w:rsid w:val="00113D00"/>
    <w:rPr>
      <w:szCs w:val="20"/>
    </w:rPr>
  </w:style>
  <w:style w:type="paragraph" w:styleId="CommentSubject">
    <w:name w:val="annotation subject"/>
    <w:basedOn w:val="CommentText"/>
    <w:next w:val="CommentText"/>
    <w:semiHidden/>
    <w:rsid w:val="00113D00"/>
    <w:rPr>
      <w:b/>
      <w:bCs/>
    </w:rPr>
  </w:style>
  <w:style w:type="character" w:customStyle="1" w:styleId="Heading4Char">
    <w:name w:val="Heading 4 Char"/>
    <w:aliases w:val="Level 1 Heading Char"/>
    <w:link w:val="Heading4"/>
    <w:rsid w:val="00445062"/>
    <w:rPr>
      <w:rFonts w:ascii="Tahoma" w:hAnsi="Tahoma"/>
      <w:b/>
      <w:bCs/>
      <w:color w:val="008576"/>
      <w:sz w:val="24"/>
      <w:szCs w:val="28"/>
    </w:rPr>
  </w:style>
  <w:style w:type="character" w:customStyle="1" w:styleId="TableTitleChar">
    <w:name w:val="Table Title Char"/>
    <w:link w:val="TableTitle"/>
    <w:locked/>
    <w:rsid w:val="0016656E"/>
    <w:rPr>
      <w:rFonts w:ascii="Tahoma" w:hAnsi="Tahoma"/>
      <w:color w:val="008576"/>
      <w:szCs w:val="24"/>
    </w:rPr>
  </w:style>
  <w:style w:type="paragraph" w:styleId="ListParagraph">
    <w:name w:val="List Paragraph"/>
    <w:basedOn w:val="BodyText"/>
    <w:link w:val="ListParagraphChar"/>
    <w:uiPriority w:val="34"/>
    <w:qFormat/>
    <w:rsid w:val="0016656E"/>
    <w:pPr>
      <w:numPr>
        <w:numId w:val="40"/>
      </w:numPr>
      <w:ind w:left="714" w:hanging="357"/>
    </w:pPr>
  </w:style>
  <w:style w:type="character" w:customStyle="1" w:styleId="ListParagraphChar">
    <w:name w:val="List Paragraph Char"/>
    <w:link w:val="ListParagraph"/>
    <w:uiPriority w:val="34"/>
    <w:rsid w:val="0016656E"/>
    <w:rPr>
      <w:rFonts w:ascii="Tahoma" w:hAnsi="Tahoma"/>
      <w:szCs w:val="24"/>
    </w:rPr>
  </w:style>
  <w:style w:type="paragraph" w:styleId="FootnoteText">
    <w:name w:val="footnote text"/>
    <w:basedOn w:val="Normal"/>
    <w:link w:val="FootnoteTextChar"/>
    <w:uiPriority w:val="99"/>
    <w:semiHidden/>
    <w:unhideWhenUsed/>
    <w:rsid w:val="00DE4228"/>
    <w:pPr>
      <w:spacing w:line="240" w:lineRule="auto"/>
    </w:pPr>
    <w:rPr>
      <w:szCs w:val="20"/>
    </w:rPr>
  </w:style>
  <w:style w:type="character" w:customStyle="1" w:styleId="FootnoteTextChar">
    <w:name w:val="Footnote Text Char"/>
    <w:basedOn w:val="DefaultParagraphFont"/>
    <w:link w:val="FootnoteText"/>
    <w:uiPriority w:val="99"/>
    <w:semiHidden/>
    <w:rsid w:val="00DE4228"/>
    <w:rPr>
      <w:rFonts w:ascii="Tahoma" w:hAnsi="Tahoma"/>
    </w:rPr>
  </w:style>
  <w:style w:type="character" w:styleId="FootnoteReference">
    <w:name w:val="footnote reference"/>
    <w:basedOn w:val="DefaultParagraphFont"/>
    <w:unhideWhenUsed/>
    <w:rsid w:val="00DE4228"/>
    <w:rPr>
      <w:vertAlign w:val="superscript"/>
    </w:rPr>
  </w:style>
  <w:style w:type="paragraph" w:customStyle="1" w:styleId="ParagraphList">
    <w:name w:val="Paragraph List"/>
    <w:basedOn w:val="ListParagraph"/>
    <w:link w:val="ParagraphListChar"/>
    <w:rsid w:val="009C7F6C"/>
    <w:pPr>
      <w:numPr>
        <w:ilvl w:val="1"/>
        <w:numId w:val="42"/>
      </w:numPr>
      <w:spacing w:after="120" w:line="360" w:lineRule="auto"/>
    </w:pPr>
    <w:rPr>
      <w:rFonts w:cs="Tahoma"/>
      <w:color w:val="000000" w:themeColor="text1"/>
      <w:szCs w:val="20"/>
      <w:lang w:eastAsia="en-US"/>
    </w:rPr>
  </w:style>
  <w:style w:type="character" w:customStyle="1" w:styleId="ParagraphListChar">
    <w:name w:val="Paragraph List Char"/>
    <w:basedOn w:val="DefaultParagraphFont"/>
    <w:link w:val="ParagraphList"/>
    <w:rsid w:val="009C7F6C"/>
    <w:rPr>
      <w:rFonts w:ascii="Tahoma" w:hAnsi="Tahoma" w:cs="Tahoma"/>
      <w:color w:val="000000" w:themeColor="text1"/>
      <w:lang w:eastAsia="en-US"/>
    </w:rPr>
  </w:style>
  <w:style w:type="character" w:customStyle="1" w:styleId="BodyTextChar">
    <w:name w:val="Body Text Char"/>
    <w:basedOn w:val="DefaultParagraphFont"/>
    <w:link w:val="BodyText"/>
    <w:rsid w:val="006060C3"/>
    <w:rPr>
      <w:rFonts w:ascii="Tahoma" w:hAnsi="Tahoma"/>
      <w:szCs w:val="24"/>
    </w:rPr>
  </w:style>
  <w:style w:type="paragraph" w:customStyle="1" w:styleId="Tableheading">
    <w:name w:val="Table heading"/>
    <w:basedOn w:val="Normal"/>
    <w:link w:val="TableheadingChar"/>
    <w:uiPriority w:val="8"/>
    <w:qFormat/>
    <w:rsid w:val="00401A92"/>
    <w:pPr>
      <w:spacing w:line="260" w:lineRule="atLeast"/>
      <w:ind w:left="113" w:right="113"/>
    </w:pPr>
    <w:rPr>
      <w:rFonts w:cs="Tahoma"/>
      <w:b/>
      <w:color w:val="FFFFFF" w:themeColor="background1"/>
      <w:sz w:val="22"/>
      <w:szCs w:val="22"/>
      <w:lang w:eastAsia="en-US"/>
    </w:rPr>
  </w:style>
  <w:style w:type="character" w:customStyle="1" w:styleId="TableheadingChar">
    <w:name w:val="Table heading Char"/>
    <w:basedOn w:val="DefaultParagraphFont"/>
    <w:link w:val="Tableheading"/>
    <w:uiPriority w:val="8"/>
    <w:rsid w:val="00401A92"/>
    <w:rPr>
      <w:rFonts w:ascii="Tahoma" w:hAnsi="Tahoma" w:cs="Tahoma"/>
      <w:b/>
      <w:color w:val="FFFFFF" w:themeColor="background1"/>
      <w:sz w:val="22"/>
      <w:szCs w:val="22"/>
      <w:lang w:eastAsia="en-US"/>
    </w:rPr>
  </w:style>
  <w:style w:type="numbering" w:customStyle="1" w:styleId="ListHeadings">
    <w:name w:val="__List Headings"/>
    <w:uiPriority w:val="99"/>
    <w:rsid w:val="00401A92"/>
    <w:pPr>
      <w:numPr>
        <w:numId w:val="46"/>
      </w:numPr>
    </w:pPr>
  </w:style>
  <w:style w:type="paragraph" w:customStyle="1" w:styleId="Numberbodytext1">
    <w:name w:val="Number body text 1"/>
    <w:basedOn w:val="BodyText"/>
    <w:uiPriority w:val="3"/>
    <w:unhideWhenUsed/>
    <w:qFormat/>
    <w:rsid w:val="00401A92"/>
    <w:pPr>
      <w:numPr>
        <w:ilvl w:val="1"/>
        <w:numId w:val="47"/>
      </w:numPr>
      <w:spacing w:after="113" w:line="260" w:lineRule="atLeast"/>
    </w:pPr>
    <w:rPr>
      <w:rFonts w:cs="Tahoma"/>
      <w:color w:val="000000" w:themeColor="text1"/>
      <w:szCs w:val="20"/>
      <w:lang w:eastAsia="en-US"/>
    </w:rPr>
  </w:style>
  <w:style w:type="paragraph" w:customStyle="1" w:styleId="Numberbodytext2">
    <w:name w:val="Number body text 2"/>
    <w:basedOn w:val="Numberbodytext1"/>
    <w:uiPriority w:val="3"/>
    <w:unhideWhenUsed/>
    <w:qFormat/>
    <w:rsid w:val="00401A92"/>
    <w:pPr>
      <w:numPr>
        <w:ilvl w:val="2"/>
      </w:numPr>
    </w:pPr>
  </w:style>
  <w:style w:type="paragraph" w:customStyle="1" w:styleId="Numberheading">
    <w:name w:val="Number heading"/>
    <w:basedOn w:val="Normal"/>
    <w:next w:val="Numberbodytext1"/>
    <w:uiPriority w:val="2"/>
    <w:qFormat/>
    <w:rsid w:val="00401A92"/>
    <w:pPr>
      <w:numPr>
        <w:numId w:val="47"/>
      </w:numPr>
      <w:spacing w:before="200" w:after="113" w:line="260" w:lineRule="atLeast"/>
    </w:pPr>
    <w:rPr>
      <w:rFonts w:cs="Tahoma"/>
      <w:b/>
      <w:color w:val="1F497D" w:themeColor="text2"/>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eader" Target="header2.xml"/><Relationship Id="rId26" Type="http://schemas.openxmlformats.org/officeDocument/2006/relationships/hyperlink" Target="https://www.elexon.co.uk/mod-proposal/p346/" TargetMode="External"/><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oter" Target="footer5.xml"/><Relationship Id="rId42" Type="http://schemas.openxmlformats.org/officeDocument/2006/relationships/hyperlink" Target="https://www.elexon.co.uk/wp-content/uploads/2014/07/Section_D_v18.0.pdf" TargetMode="External"/><Relationship Id="rId47" Type="http://schemas.openxmlformats.org/officeDocument/2006/relationships/hyperlink" Target="https://www.elexon.co.uk/bsc-related-documents/balancing-settlement-code/bsc-sections/" TargetMode="External"/><Relationship Id="rId50"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elexon.co.uk/wp-content/uploads/2016/06/Section_X-2_v37.0.pdf" TargetMode="External"/><Relationship Id="rId25" Type="http://schemas.openxmlformats.org/officeDocument/2006/relationships/image" Target="media/image5.emf"/><Relationship Id="rId33" Type="http://schemas.openxmlformats.org/officeDocument/2006/relationships/header" Target="header10.xml"/><Relationship Id="rId38" Type="http://schemas.openxmlformats.org/officeDocument/2006/relationships/header" Target="header12.xml"/><Relationship Id="rId46" Type="http://schemas.openxmlformats.org/officeDocument/2006/relationships/hyperlink" Target="https://www.ofgem.gov.uk/system/files/docs/2016/05/elective_hhs_conclusions_paper.pdf" TargetMode="External"/><Relationship Id="rId2" Type="http://schemas.openxmlformats.org/officeDocument/2006/relationships/numbering" Target="numbering.xml"/><Relationship Id="rId16" Type="http://schemas.openxmlformats.org/officeDocument/2006/relationships/hyperlink" Target="https://www.elexon.co.uk/wp-content/uploads/2016/07/Section_X_1_v74.0.pdf" TargetMode="External"/><Relationship Id="rId20" Type="http://schemas.openxmlformats.org/officeDocument/2006/relationships/header" Target="header4.xml"/><Relationship Id="rId29" Type="http://schemas.openxmlformats.org/officeDocument/2006/relationships/header" Target="header7.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elexon.co.uk/bsc-related-documents/balancing-settlement-code/bsc-sections/" TargetMode="External"/><Relationship Id="rId32" Type="http://schemas.openxmlformats.org/officeDocument/2006/relationships/header" Target="header9.xml"/><Relationship Id="rId37" Type="http://schemas.openxmlformats.org/officeDocument/2006/relationships/hyperlink" Target="https://www.elexon.co.uk/mod-proposal/p272-mandatory-half-hourly-settlement-for-profile-classes-5-8/" TargetMode="External"/><Relationship Id="rId40" Type="http://schemas.openxmlformats.org/officeDocument/2006/relationships/header" Target="header13.xml"/><Relationship Id="rId45" Type="http://schemas.openxmlformats.org/officeDocument/2006/relationships/hyperlink" Target="https://www.ofgem.gov.uk/sites/default/files/docs/final_open_letter_on_hhs.pdf"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elexon.co.uk/wp-content/uploads/2014/07/Section_D_v18.0.pdf" TargetMode="External"/><Relationship Id="rId23" Type="http://schemas.openxmlformats.org/officeDocument/2006/relationships/hyperlink" Target="https://www.ofgem.gov.uk/system/files/docs/2016/05/elective_hhs_conclusions_paper.pdf" TargetMode="External"/><Relationship Id="rId28" Type="http://schemas.openxmlformats.org/officeDocument/2006/relationships/header" Target="header6.xml"/><Relationship Id="rId36" Type="http://schemas.openxmlformats.org/officeDocument/2006/relationships/footer" Target="footer6.xml"/><Relationship Id="rId49" Type="http://schemas.openxmlformats.org/officeDocument/2006/relationships/hyperlink" Target="https://www.elexon.co.uk/mod-proposal/p272-mandatory-half-hourly-settlement-for-profile-classes-5-8/" TargetMode="Externa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header" Target="header8.xml"/><Relationship Id="rId44" Type="http://schemas.openxmlformats.org/officeDocument/2006/relationships/hyperlink" Target="https://www.elexon.co.uk/wp-content/uploads/2016/06/Section_X-2_v37.0.pdf"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hyperlink" Target="https://www.ofgem.gov.uk/sites/default/files/docs/final_open_letter_on_hhs.pdf" TargetMode="External"/><Relationship Id="rId27" Type="http://schemas.openxmlformats.org/officeDocument/2006/relationships/header" Target="header5.xml"/><Relationship Id="rId30" Type="http://schemas.openxmlformats.org/officeDocument/2006/relationships/footer" Target="footer4.xml"/><Relationship Id="rId35" Type="http://schemas.openxmlformats.org/officeDocument/2006/relationships/header" Target="header11.xml"/><Relationship Id="rId43" Type="http://schemas.openxmlformats.org/officeDocument/2006/relationships/hyperlink" Target="https://www.elexon.co.uk/wp-content/uploads/2016/07/Section_X_1_v74.0.pdf" TargetMode="External"/><Relationship Id="rId48" Type="http://schemas.openxmlformats.org/officeDocument/2006/relationships/hyperlink" Target="https://www.elexon.co.uk/mod-proposal/p346/" TargetMode="External"/><Relationship Id="rId8" Type="http://schemas.openxmlformats.org/officeDocument/2006/relationships/endnotes" Target="endnotes.xml"/><Relationship Id="rId51"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3%20-%20Final%20Modification%20Report\PXXX_FMR%20-%20Final%20Modification%20Report%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C699D-040B-4E86-95EB-F051B24C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PXXX_FMR - Final Modification Report vX.X</Template>
  <TotalTime>63</TotalTime>
  <Pages>24</Pages>
  <Words>5366</Words>
  <Characters>32059</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PXXX Final Modification Report</vt:lpstr>
    </vt:vector>
  </TitlesOfParts>
  <Company>ELEXON</Company>
  <LinksUpToDate>false</LinksUpToDate>
  <CharactersWithSpaces>37351</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Final Modification Report</dc:title>
  <dc:subject>PXXX Final Modification Report</dc:subject>
  <dc:creator>Royston Black</dc:creator>
  <cp:keywords>PXXX Final Modification Report</cp:keywords>
  <cp:lastModifiedBy>Royston Black</cp:lastModifiedBy>
  <cp:revision>3</cp:revision>
  <cp:lastPrinted>2008-12-15T11:55:00Z</cp:lastPrinted>
  <dcterms:created xsi:type="dcterms:W3CDTF">2016-11-16T10:49:00Z</dcterms:created>
  <dcterms:modified xsi:type="dcterms:W3CDTF">2016-11-16T13:30:00Z</dcterms:modified>
  <cp:category>PXXX Final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Final Modification Report</vt:lpwstr>
  </property>
  <property fmtid="{D5CDD505-2E9C-101B-9397-08002B2CF9AE}" pid="3" name="Subject">
    <vt:lpwstr>P346</vt:lpwstr>
  </property>
  <property fmtid="{D5CDD505-2E9C-101B-9397-08002B2CF9AE}" pid="4" name="Date">
    <vt:lpwstr>15 November 2016</vt:lpwstr>
  </property>
  <property fmtid="{D5CDD505-2E9C-101B-9397-08002B2CF9AE}" pid="5" name="Version">
    <vt:lpwstr>1.0</vt:lpwstr>
  </property>
  <property fmtid="{D5CDD505-2E9C-101B-9397-08002B2CF9AE}" pid="6" name="Panel number">
    <vt:lpwstr> </vt:lpwstr>
  </property>
</Properties>
</file>